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pPr w:leftFromText="180" w:rightFromText="180" w:vertAnchor="text" w:horzAnchor="margin" w:tblpXSpec="center" w:tblpY="-40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3274"/>
        <w:gridCol w:w="2584"/>
        <w:gridCol w:w="3807"/>
        <w:gridCol w:w="3812"/>
        <w:gridCol w:w="3247"/>
        <w:gridCol w:w="22"/>
        <w:gridCol w:w="4009"/>
      </w:tblGrid>
      <w:tr w:rsidR="007D714E" w:rsidRPr="00D941F1" w14:paraId="1D15E380" w14:textId="77777777" w:rsidTr="00AD6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47D459" w:themeFill="accent3" w:themeFillTint="99"/>
            <w:vAlign w:val="center"/>
          </w:tcPr>
          <w:p w14:paraId="60AA5D6C" w14:textId="77777777" w:rsidR="007D714E" w:rsidRPr="00300FBB" w:rsidRDefault="007D714E" w:rsidP="00AD6282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shd w:val="clear" w:color="auto" w:fill="47D459" w:themeFill="accent3" w:themeFillTint="99"/>
            <w:vAlign w:val="center"/>
          </w:tcPr>
          <w:p w14:paraId="02CEEDCD" w14:textId="77777777" w:rsidR="007D714E" w:rsidRPr="00300FBB" w:rsidRDefault="007D714E" w:rsidP="00AD6282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47D459" w:themeFill="accent3" w:themeFillTint="99"/>
            <w:vAlign w:val="center"/>
          </w:tcPr>
          <w:p w14:paraId="578584B9" w14:textId="77777777" w:rsidR="007D714E" w:rsidRPr="00300FBB" w:rsidRDefault="007D714E" w:rsidP="00AD6282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8" w:type="pct"/>
            <w:shd w:val="clear" w:color="auto" w:fill="47D459" w:themeFill="accent3" w:themeFillTint="99"/>
            <w:vAlign w:val="center"/>
          </w:tcPr>
          <w:p w14:paraId="38419057" w14:textId="77777777" w:rsidR="007D714E" w:rsidRPr="00300FBB" w:rsidRDefault="007D714E" w:rsidP="00AD6282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shd w:val="clear" w:color="auto" w:fill="47D459" w:themeFill="accent3" w:themeFillTint="99"/>
            <w:vAlign w:val="center"/>
          </w:tcPr>
          <w:p w14:paraId="464B2FFF" w14:textId="77777777" w:rsidR="007D714E" w:rsidRPr="00300FBB" w:rsidRDefault="007D714E" w:rsidP="00AD6282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2" w:type="pct"/>
            <w:gridSpan w:val="2"/>
            <w:shd w:val="clear" w:color="auto" w:fill="47D459" w:themeFill="accent3" w:themeFillTint="99"/>
            <w:vAlign w:val="center"/>
          </w:tcPr>
          <w:p w14:paraId="4D7D3409" w14:textId="77777777" w:rsidR="007D714E" w:rsidRPr="00300FBB" w:rsidRDefault="007D714E" w:rsidP="00AD6282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9" w:type="pct"/>
            <w:shd w:val="clear" w:color="auto" w:fill="47D459" w:themeFill="accent3" w:themeFillTint="99"/>
            <w:vAlign w:val="center"/>
          </w:tcPr>
          <w:p w14:paraId="57421469" w14:textId="77777777" w:rsidR="007D714E" w:rsidRPr="00300FBB" w:rsidRDefault="007D714E" w:rsidP="00AD6282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2</w:t>
            </w:r>
          </w:p>
        </w:tc>
      </w:tr>
      <w:tr w:rsidR="007D714E" w:rsidRPr="00C374AB" w14:paraId="0B677C3D" w14:textId="77777777" w:rsidTr="007D714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6BC579CB" w14:textId="77777777" w:rsidR="007D714E" w:rsidRPr="00760E06" w:rsidRDefault="007D714E" w:rsidP="00AD62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shd w:val="clear" w:color="auto" w:fill="8DD873" w:themeFill="accent6" w:themeFillTint="99"/>
            <w:vAlign w:val="center"/>
          </w:tcPr>
          <w:p w14:paraId="11DE47DA" w14:textId="3CC59864" w:rsidR="007D714E" w:rsidRPr="005A1AAC" w:rsidRDefault="007D714E" w:rsidP="00AD62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Rhythm and Metre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8DD873" w:themeFill="accent6" w:themeFillTint="99"/>
            <w:vAlign w:val="center"/>
          </w:tcPr>
          <w:p w14:paraId="17772747" w14:textId="7C4EFB26" w:rsidR="007D714E" w:rsidRPr="005A1AAC" w:rsidRDefault="007D714E" w:rsidP="007D71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714E">
              <w:rPr>
                <w:rFonts w:asciiTheme="minorHAnsi" w:hAnsiTheme="minorHAnsi" w:cstheme="minorHAnsi"/>
                <w:b/>
                <w:bCs/>
              </w:rPr>
              <w:t>Melody and Pitch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8" w:type="pct"/>
            <w:shd w:val="clear" w:color="auto" w:fill="8DD873" w:themeFill="accent6" w:themeFillTint="99"/>
            <w:vAlign w:val="center"/>
          </w:tcPr>
          <w:p w14:paraId="512A814B" w14:textId="6A768E43" w:rsidR="007D714E" w:rsidRPr="005A1AAC" w:rsidRDefault="007D714E" w:rsidP="00AD62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714E">
              <w:rPr>
                <w:rFonts w:asciiTheme="minorHAnsi" w:hAnsiTheme="minorHAnsi" w:cstheme="minorHAnsi"/>
                <w:b/>
                <w:bCs/>
              </w:rPr>
              <w:t>Composing with Loops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shd w:val="clear" w:color="auto" w:fill="8DD873" w:themeFill="accent6" w:themeFillTint="99"/>
            <w:vAlign w:val="center"/>
          </w:tcPr>
          <w:p w14:paraId="66AF046B" w14:textId="53769523" w:rsidR="007D714E" w:rsidRPr="005A1AAC" w:rsidRDefault="007D714E" w:rsidP="00AD62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714E">
              <w:rPr>
                <w:rFonts w:asciiTheme="minorHAnsi" w:hAnsiTheme="minorHAnsi" w:cstheme="minorHAnsi"/>
                <w:b/>
                <w:bCs/>
              </w:rPr>
              <w:t>Chords</w:t>
            </w:r>
            <w:r w:rsidRPr="007D714E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6" w:type="pct"/>
            <w:shd w:val="clear" w:color="auto" w:fill="8DD873" w:themeFill="accent6" w:themeFillTint="99"/>
            <w:vAlign w:val="center"/>
          </w:tcPr>
          <w:p w14:paraId="63496578" w14:textId="028A4DCB" w:rsidR="007D714E" w:rsidRPr="005A1AAC" w:rsidRDefault="007D714E" w:rsidP="00AD62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714E">
              <w:rPr>
                <w:rFonts w:asciiTheme="minorHAnsi" w:hAnsiTheme="minorHAnsi" w:cstheme="minorHAnsi"/>
                <w:b/>
                <w:bCs/>
              </w:rPr>
              <w:t>African Music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pct"/>
            <w:gridSpan w:val="2"/>
            <w:shd w:val="clear" w:color="auto" w:fill="8DD873" w:themeFill="accent6" w:themeFillTint="99"/>
            <w:vAlign w:val="center"/>
          </w:tcPr>
          <w:p w14:paraId="11C69C51" w14:textId="63A3EE94" w:rsidR="007D714E" w:rsidRPr="005A1AAC" w:rsidRDefault="007D714E" w:rsidP="00AD62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714E">
              <w:rPr>
                <w:rFonts w:asciiTheme="minorHAnsi" w:hAnsiTheme="minorHAnsi" w:cstheme="minorHAnsi"/>
                <w:b/>
                <w:bCs/>
              </w:rPr>
              <w:t>Riffs and Chords</w:t>
            </w:r>
          </w:p>
        </w:tc>
      </w:tr>
      <w:tr w:rsidR="004B0930" w:rsidRPr="00C374AB" w14:paraId="63FB635D" w14:textId="77777777" w:rsidTr="004B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227EE9A5" w14:textId="1AA02DBF" w:rsidR="004B0930" w:rsidRPr="00C01225" w:rsidRDefault="004B0930" w:rsidP="00AD62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Learning Links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2"/>
            <w:shd w:val="clear" w:color="auto" w:fill="8DD873" w:themeFill="accent6" w:themeFillTint="99"/>
            <w:vAlign w:val="center"/>
          </w:tcPr>
          <w:p w14:paraId="25B85718" w14:textId="6041F916" w:rsidR="004B0930" w:rsidRPr="004B0930" w:rsidRDefault="004B0930" w:rsidP="00AD6282">
            <w:pPr>
              <w:jc w:val="center"/>
              <w:rPr>
                <w:rFonts w:asciiTheme="majorHAnsi" w:hAnsiTheme="majorHAnsi" w:cstheme="majorHAnsi"/>
                <w:bCs/>
              </w:rPr>
            </w:pPr>
            <w:hyperlink r:id="rId6" w:history="1">
              <w:r w:rsidRPr="00D01D6A">
                <w:rPr>
                  <w:rStyle w:val="Hyperlink"/>
                  <w:rFonts w:asciiTheme="majorHAnsi" w:hAnsiTheme="majorHAnsi" w:cstheme="majorHAnsi"/>
                  <w:bCs/>
                </w:rPr>
                <w:t>https://www.thenational.academy/teachers/programmes/music-secondary-ks3-l/units/stomp-and-sing-a4d4/lessons?sid-e15afd=L9WgA_TOTE&amp;sm=1&amp;src=3</w:t>
              </w:r>
            </w:hyperlink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8DD873" w:themeFill="accent6" w:themeFillTint="99"/>
            <w:vAlign w:val="center"/>
          </w:tcPr>
          <w:p w14:paraId="7EF68484" w14:textId="1A7568F4" w:rsidR="004B0930" w:rsidRPr="004B0930" w:rsidRDefault="00D923FA" w:rsidP="00AD6282">
            <w:pPr>
              <w:jc w:val="center"/>
              <w:rPr>
                <w:rFonts w:asciiTheme="majorHAnsi" w:hAnsiTheme="majorHAnsi" w:cstheme="majorHAnsi"/>
                <w:bCs/>
              </w:rPr>
            </w:pPr>
            <w:hyperlink r:id="rId7" w:history="1">
              <w:r w:rsidRPr="00D01D6A">
                <w:rPr>
                  <w:rStyle w:val="Hyperlink"/>
                  <w:rFonts w:asciiTheme="majorHAnsi" w:hAnsiTheme="majorHAnsi" w:cstheme="majorHAnsi"/>
                  <w:bCs/>
                </w:rPr>
                <w:t>https://www.thenational.academy/teachers/programmes/music-secondary-ks3-l/units/band-musicianship-1-the-four-chord-trick-3b3f/lessons?sid-aff4b6=WdIXs_3GSo&amp;sm=1&amp;src=3</w:t>
              </w:r>
            </w:hyperlink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3"/>
            <w:shd w:val="clear" w:color="auto" w:fill="8DD873" w:themeFill="accent6" w:themeFillTint="99"/>
            <w:vAlign w:val="center"/>
          </w:tcPr>
          <w:p w14:paraId="7DEF64CF" w14:textId="65D260BA" w:rsidR="004B0930" w:rsidRPr="004B0930" w:rsidRDefault="00B06BBA" w:rsidP="00AD6282">
            <w:pPr>
              <w:jc w:val="center"/>
              <w:rPr>
                <w:rFonts w:asciiTheme="majorHAnsi" w:hAnsiTheme="majorHAnsi" w:cstheme="majorHAnsi"/>
                <w:bCs/>
              </w:rPr>
            </w:pPr>
            <w:hyperlink r:id="rId8" w:history="1">
              <w:r w:rsidRPr="00D01D6A">
                <w:rPr>
                  <w:rStyle w:val="Hyperlink"/>
                  <w:rFonts w:asciiTheme="majorHAnsi" w:hAnsiTheme="majorHAnsi" w:cstheme="majorHAnsi"/>
                  <w:bCs/>
                </w:rPr>
                <w:t>https://www.thenational.academy/teachers/programmes/music-secondary-ks3-l/units/the-power-of-the-pentatonic-608b/lessons?sid-998760=YIA9G6tcLN&amp;sm=1&amp;src=3</w:t>
              </w:r>
            </w:hyperlink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7D714E" w:rsidRPr="00C374AB" w14:paraId="6E421C89" w14:textId="77777777" w:rsidTr="00AD6282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1C15D51A" w14:textId="77777777" w:rsidR="007D714E" w:rsidRPr="00BE5C8B" w:rsidRDefault="007D714E" w:rsidP="00AD6282">
            <w:pPr>
              <w:jc w:val="center"/>
              <w:rPr>
                <w:noProof/>
                <w:sz w:val="22"/>
                <w:szCs w:val="22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shd w:val="clear" w:color="auto" w:fill="8DD873" w:themeFill="accent6" w:themeFillTint="99"/>
            <w:vAlign w:val="center"/>
          </w:tcPr>
          <w:p w14:paraId="00546012" w14:textId="554FC06A" w:rsidR="007D714E" w:rsidRPr="00FF4AE0" w:rsidRDefault="007D714E" w:rsidP="00AD6282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8DD873" w:themeFill="accent6" w:themeFillTint="99"/>
            <w:vAlign w:val="center"/>
          </w:tcPr>
          <w:p w14:paraId="3FF63E73" w14:textId="69B163D5" w:rsidR="007D714E" w:rsidRPr="00FF4AE0" w:rsidRDefault="007D714E" w:rsidP="00AD6282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8" w:type="pct"/>
            <w:shd w:val="clear" w:color="auto" w:fill="8DD873" w:themeFill="accent6" w:themeFillTint="99"/>
            <w:vAlign w:val="center"/>
          </w:tcPr>
          <w:p w14:paraId="2F16C172" w14:textId="1ADEA01E" w:rsidR="007D714E" w:rsidRPr="00FF4AE0" w:rsidRDefault="007D714E" w:rsidP="00AD6282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shd w:val="clear" w:color="auto" w:fill="8DD873" w:themeFill="accent6" w:themeFillTint="99"/>
            <w:vAlign w:val="center"/>
          </w:tcPr>
          <w:p w14:paraId="1707FC5F" w14:textId="5B7B0E40" w:rsidR="007D714E" w:rsidRPr="00FF4AE0" w:rsidRDefault="007D714E" w:rsidP="00AD6282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6" w:type="pct"/>
            <w:shd w:val="clear" w:color="auto" w:fill="8DD873" w:themeFill="accent6" w:themeFillTint="99"/>
            <w:vAlign w:val="center"/>
          </w:tcPr>
          <w:p w14:paraId="73617816" w14:textId="4193BB09" w:rsidR="007D714E" w:rsidRPr="00FF4AE0" w:rsidRDefault="007D714E" w:rsidP="00AD6282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pct"/>
            <w:gridSpan w:val="2"/>
            <w:shd w:val="clear" w:color="auto" w:fill="8DD873" w:themeFill="accent6" w:themeFillTint="99"/>
            <w:vAlign w:val="center"/>
          </w:tcPr>
          <w:p w14:paraId="7D48D5E1" w14:textId="04E0DD3A" w:rsidR="007D714E" w:rsidRPr="00FF4AE0" w:rsidRDefault="007D714E" w:rsidP="00AD6282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7D714E" w:rsidRPr="00C374AB" w14:paraId="399ADEEA" w14:textId="77777777" w:rsidTr="00AD6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8DD873" w:themeFill="accent6" w:themeFillTint="99"/>
            <w:vAlign w:val="center"/>
          </w:tcPr>
          <w:p w14:paraId="794DA116" w14:textId="77777777" w:rsidR="007D714E" w:rsidRDefault="007D714E" w:rsidP="00AD62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380C9029" wp14:editId="55033CAD">
                  <wp:extent cx="403436" cy="403436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9C9CC" w14:textId="77777777" w:rsidR="007D714E" w:rsidRPr="00760E06" w:rsidRDefault="007D714E" w:rsidP="00AD62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gridSpan w:val="7"/>
            <w:shd w:val="clear" w:color="auto" w:fill="8DD873" w:themeFill="accent6" w:themeFillTint="99"/>
            <w:vAlign w:val="center"/>
          </w:tcPr>
          <w:p w14:paraId="082F53E1" w14:textId="77777777" w:rsidR="007D714E" w:rsidRPr="00015D7A" w:rsidRDefault="007D714E" w:rsidP="00AD6282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CEIAG – </w:t>
            </w:r>
            <w:r w:rsidRPr="00015D7A">
              <w:rPr>
                <w:rFonts w:asciiTheme="majorHAnsi" w:hAnsiTheme="majorHAnsi" w:cstheme="majorHAnsi"/>
                <w:bCs/>
              </w:rPr>
              <w:t>The Elements of music i.e. learning notation / language. Performance and development of skills.</w:t>
            </w:r>
          </w:p>
          <w:p w14:paraId="1AB19E21" w14:textId="77777777" w:rsidR="007D714E" w:rsidRPr="00015D7A" w:rsidRDefault="007D714E" w:rsidP="00AD6282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SMSC – </w:t>
            </w:r>
            <w:r w:rsidRPr="00015D7A">
              <w:rPr>
                <w:rFonts w:asciiTheme="majorHAnsi" w:hAnsiTheme="majorHAnsi" w:cstheme="majorHAnsi"/>
                <w:bCs/>
              </w:rPr>
              <w:t>Cultural influences, Cultural capital, character education, spiritual development.</w:t>
            </w:r>
            <w:r w:rsidRPr="00015D7A">
              <w:rPr>
                <w:bCs/>
              </w:rPr>
              <w:t xml:space="preserve"> </w:t>
            </w:r>
            <w:r w:rsidRPr="00015D7A">
              <w:rPr>
                <w:rFonts w:asciiTheme="majorHAnsi" w:hAnsiTheme="majorHAnsi" w:cstheme="majorHAnsi"/>
                <w:bCs/>
              </w:rPr>
              <w:t>Reflecting on self-development.</w:t>
            </w:r>
          </w:p>
          <w:p w14:paraId="2B0C2517" w14:textId="77777777" w:rsidR="007D714E" w:rsidRPr="00015D7A" w:rsidRDefault="007D714E" w:rsidP="00AD6282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ENRICHMENT </w:t>
            </w:r>
            <w:r w:rsidRPr="00015D7A">
              <w:rPr>
                <w:rFonts w:asciiTheme="majorHAnsi" w:hAnsiTheme="majorHAnsi" w:cstheme="majorHAnsi"/>
                <w:bCs/>
              </w:rPr>
              <w:t xml:space="preserve">– Performance skills. Instrument skills.  </w:t>
            </w:r>
          </w:p>
          <w:p w14:paraId="0BF7B9AD" w14:textId="77777777" w:rsidR="007D714E" w:rsidRPr="00015D7A" w:rsidRDefault="007D714E" w:rsidP="00AD6282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BRITISH VALUES – </w:t>
            </w:r>
            <w:r w:rsidRPr="00015D7A">
              <w:rPr>
                <w:rFonts w:asciiTheme="majorHAnsi" w:hAnsiTheme="majorHAnsi" w:cstheme="majorHAnsi"/>
                <w:bCs/>
              </w:rPr>
              <w:t>Individual liberty, democracy.</w:t>
            </w:r>
          </w:p>
        </w:tc>
      </w:tr>
      <w:tr w:rsidR="007D714E" w:rsidRPr="00C374AB" w14:paraId="31B6DBBF" w14:textId="77777777" w:rsidTr="007D714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05669246" w14:textId="77777777" w:rsidR="007D714E" w:rsidRPr="00760E06" w:rsidRDefault="007D714E" w:rsidP="00AD62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shd w:val="clear" w:color="auto" w:fill="FAE2D5" w:themeFill="accent2" w:themeFillTint="33"/>
            <w:vAlign w:val="center"/>
          </w:tcPr>
          <w:p w14:paraId="4B06440C" w14:textId="1700F69C" w:rsidR="007D714E" w:rsidRPr="005A1AAC" w:rsidRDefault="007D714E" w:rsidP="00AD6282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>Blues</w:t>
            </w: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AE2D5" w:themeFill="accent2" w:themeFillTint="33"/>
            <w:vAlign w:val="center"/>
          </w:tcPr>
          <w:p w14:paraId="4A6D582D" w14:textId="1B018542" w:rsidR="007D714E" w:rsidRPr="005A1AAC" w:rsidRDefault="007D714E" w:rsidP="00AD6282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>Ground Bass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7" w:type="pct"/>
            <w:gridSpan w:val="2"/>
            <w:shd w:val="clear" w:color="auto" w:fill="FAE2D5" w:themeFill="accent2" w:themeFillTint="33"/>
            <w:vAlign w:val="center"/>
          </w:tcPr>
          <w:p w14:paraId="2AE7DADF" w14:textId="008CC1D9" w:rsidR="007D714E" w:rsidRPr="005A1AAC" w:rsidRDefault="007D714E" w:rsidP="00AD6282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>4 Chord Songs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6" w:type="pct"/>
            <w:shd w:val="clear" w:color="auto" w:fill="FAE2D5" w:themeFill="accent2" w:themeFillTint="33"/>
            <w:vAlign w:val="center"/>
          </w:tcPr>
          <w:p w14:paraId="1BC46120" w14:textId="3B0A6E55" w:rsidR="007D714E" w:rsidRPr="005A1AAC" w:rsidRDefault="007D714E" w:rsidP="00AD6282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>Folk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Music</w:t>
            </w: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5" w:type="pct"/>
            <w:gridSpan w:val="2"/>
            <w:shd w:val="clear" w:color="auto" w:fill="FAE2D5" w:themeFill="accent2" w:themeFillTint="33"/>
            <w:vAlign w:val="center"/>
          </w:tcPr>
          <w:p w14:paraId="57CEC05F" w14:textId="34F43DA3" w:rsidR="007D714E" w:rsidRPr="005A1AAC" w:rsidRDefault="007D714E" w:rsidP="00AD6282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>Ambient Music</w:t>
            </w:r>
          </w:p>
        </w:tc>
      </w:tr>
      <w:tr w:rsidR="00B06BBA" w:rsidRPr="00C374AB" w14:paraId="630C5397" w14:textId="77777777" w:rsidTr="00B06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5D079898" w14:textId="1B4C9E9F" w:rsidR="00B06BBA" w:rsidRPr="00CF6939" w:rsidRDefault="00B06BBA" w:rsidP="007D0DD6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Learning Links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2"/>
            <w:shd w:val="clear" w:color="auto" w:fill="FAE2D5" w:themeFill="accent2" w:themeFillTint="33"/>
            <w:vAlign w:val="center"/>
          </w:tcPr>
          <w:p w14:paraId="537033F1" w14:textId="023F5BA0" w:rsidR="00B06BBA" w:rsidRPr="00B06BBA" w:rsidRDefault="00B40433" w:rsidP="007D0DD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hyperlink r:id="rId10" w:history="1">
              <w:r w:rsidRPr="00D01D6A">
                <w:rPr>
                  <w:rStyle w:val="Hyperlink"/>
                  <w:rFonts w:asciiTheme="minorHAnsi" w:hAnsiTheme="minorHAnsi" w:cstheme="minorHAnsi"/>
                  <w:szCs w:val="20"/>
                </w:rPr>
                <w:t>https://www.thenational.academy/teachers/programmes/music-secondary-ks3-l/units/band-musicianship-2-the-blues-6049/lessons?sid-9b7be2=ncHmEZ65Hy&amp;sm=1&amp;src=3</w:t>
              </w:r>
            </w:hyperlink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FAE2D5" w:themeFill="accent2" w:themeFillTint="33"/>
            <w:vAlign w:val="center"/>
          </w:tcPr>
          <w:p w14:paraId="12858A3B" w14:textId="1843EF96" w:rsidR="00B06BBA" w:rsidRPr="00015D7A" w:rsidRDefault="00015D7A" w:rsidP="007D0DD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hyperlink r:id="rId11" w:history="1">
              <w:r w:rsidRPr="00015D7A">
                <w:rPr>
                  <w:rStyle w:val="Hyperlink"/>
                  <w:rFonts w:asciiTheme="minorHAnsi" w:hAnsiTheme="minorHAnsi" w:cstheme="minorHAnsi"/>
                  <w:szCs w:val="20"/>
                </w:rPr>
                <w:t>https://www.thenational.academy/teachers/programmes/music-secondary-ks3-l/units/the-beauty-of-the-baroque-10cd/lessons?sid-56a955=Y7wRGwif3e&amp;sm=1&amp;src=3</w:t>
              </w:r>
            </w:hyperlink>
            <w:r w:rsidRPr="00015D7A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3"/>
            <w:shd w:val="clear" w:color="auto" w:fill="FAE2D5" w:themeFill="accent2" w:themeFillTint="33"/>
            <w:vAlign w:val="center"/>
          </w:tcPr>
          <w:p w14:paraId="3F05F81D" w14:textId="46423BD8" w:rsidR="00B06BBA" w:rsidRPr="00B06BBA" w:rsidRDefault="00B40433" w:rsidP="007D0DD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hyperlink r:id="rId12" w:history="1">
              <w:r w:rsidRPr="00D01D6A">
                <w:rPr>
                  <w:rStyle w:val="Hyperlink"/>
                  <w:rFonts w:asciiTheme="minorHAnsi" w:hAnsiTheme="minorHAnsi" w:cstheme="minorHAnsi"/>
                  <w:szCs w:val="20"/>
                </w:rPr>
                <w:t>https://www.thenational.academy/teachers/programmes/music-secondary-ks3-l/units/west-african-music-373e/lessons?sid-369582=DQ12JMbndi&amp;sm=1&amp;src=3</w:t>
              </w:r>
            </w:hyperlink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7D0DD6" w:rsidRPr="00951AF9" w14:paraId="53647B5B" w14:textId="77777777" w:rsidTr="00AD6282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4F19030E" w14:textId="77777777" w:rsidR="007D0DD6" w:rsidRPr="00951AF9" w:rsidRDefault="007D0DD6" w:rsidP="007D0DD6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shd w:val="clear" w:color="auto" w:fill="FAE2D5" w:themeFill="accent2" w:themeFillTint="33"/>
            <w:vAlign w:val="center"/>
          </w:tcPr>
          <w:p w14:paraId="77DA49F4" w14:textId="521BB807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AE2D5" w:themeFill="accent2" w:themeFillTint="33"/>
            <w:vAlign w:val="center"/>
          </w:tcPr>
          <w:p w14:paraId="0C5416BF" w14:textId="5AFA5F02" w:rsidR="007D0DD6" w:rsidRPr="00015D7A" w:rsidRDefault="007D0DD6" w:rsidP="007D0DD6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8" w:type="pct"/>
            <w:shd w:val="clear" w:color="auto" w:fill="FAE2D5" w:themeFill="accent2" w:themeFillTint="33"/>
            <w:vAlign w:val="center"/>
          </w:tcPr>
          <w:p w14:paraId="47720207" w14:textId="318BCB13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shd w:val="clear" w:color="auto" w:fill="FAE2D5" w:themeFill="accent2" w:themeFillTint="33"/>
            <w:vAlign w:val="center"/>
          </w:tcPr>
          <w:p w14:paraId="7BC49524" w14:textId="395FF6CC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6" w:type="pct"/>
            <w:shd w:val="clear" w:color="auto" w:fill="FAE2D5" w:themeFill="accent2" w:themeFillTint="33"/>
          </w:tcPr>
          <w:p w14:paraId="237AC839" w14:textId="302FEB3B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pct"/>
            <w:gridSpan w:val="2"/>
            <w:shd w:val="clear" w:color="auto" w:fill="FAE2D5" w:themeFill="accent2" w:themeFillTint="33"/>
            <w:vAlign w:val="center"/>
          </w:tcPr>
          <w:p w14:paraId="385FEF1A" w14:textId="7A9E910F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7D0DD6" w:rsidRPr="00C374AB" w14:paraId="571801EC" w14:textId="77777777" w:rsidTr="00AD6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AE2D5" w:themeFill="accent2" w:themeFillTint="33"/>
            <w:vAlign w:val="center"/>
          </w:tcPr>
          <w:p w14:paraId="50DD33C4" w14:textId="77777777" w:rsidR="007D0DD6" w:rsidRDefault="007D0DD6" w:rsidP="007D0D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783B9322" wp14:editId="20887AD6">
                  <wp:extent cx="403436" cy="403436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7BAA6" w14:textId="77777777" w:rsidR="007D0DD6" w:rsidRPr="00760E06" w:rsidRDefault="007D0DD6" w:rsidP="007D0D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gridSpan w:val="7"/>
            <w:shd w:val="clear" w:color="auto" w:fill="FAE2D5" w:themeFill="accent2" w:themeFillTint="33"/>
            <w:vAlign w:val="center"/>
          </w:tcPr>
          <w:p w14:paraId="166040FB" w14:textId="77777777" w:rsidR="007D0DD6" w:rsidRPr="00015D7A" w:rsidRDefault="007D0DD6" w:rsidP="007D0DD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CEIAG – </w:t>
            </w:r>
            <w:r w:rsidRPr="00015D7A">
              <w:rPr>
                <w:rFonts w:asciiTheme="majorHAnsi" w:hAnsiTheme="majorHAnsi" w:cstheme="majorHAnsi"/>
                <w:bCs/>
              </w:rPr>
              <w:t>Development of musical skills. Employability – speaking and listening, expression and reaction.</w:t>
            </w:r>
          </w:p>
          <w:p w14:paraId="05A9AC63" w14:textId="77777777" w:rsidR="007D0DD6" w:rsidRPr="00015D7A" w:rsidRDefault="007D0DD6" w:rsidP="007D0D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SMSC – </w:t>
            </w:r>
            <w:r w:rsidRPr="00015D7A">
              <w:rPr>
                <w:rFonts w:asciiTheme="majorHAnsi" w:hAnsiTheme="majorHAnsi" w:cstheme="majorHAnsi"/>
                <w:bCs/>
              </w:rPr>
              <w:t>Cultural influences on world music, the impact of expression, traditional music. Cultural capital, character education, spiritual development.</w:t>
            </w:r>
            <w:r w:rsidRPr="00015D7A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470537" w14:textId="77777777" w:rsidR="007D0DD6" w:rsidRPr="00015D7A" w:rsidRDefault="007D0DD6" w:rsidP="007D0D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ENRICHMENT – </w:t>
            </w:r>
            <w:r w:rsidRPr="00015D7A">
              <w:rPr>
                <w:rFonts w:asciiTheme="majorHAnsi" w:hAnsiTheme="majorHAnsi" w:cstheme="majorHAnsi"/>
                <w:bCs/>
              </w:rPr>
              <w:t>Performance skills. Instrument skills.</w:t>
            </w:r>
          </w:p>
          <w:p w14:paraId="149FF21D" w14:textId="77777777" w:rsidR="007D0DD6" w:rsidRPr="00015D7A" w:rsidRDefault="007D0DD6" w:rsidP="007D0DD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BRITISH VALUES – </w:t>
            </w:r>
            <w:r w:rsidRPr="00015D7A">
              <w:rPr>
                <w:rFonts w:asciiTheme="majorHAnsi" w:hAnsiTheme="majorHAnsi" w:cstheme="majorHAnsi"/>
                <w:bCs/>
              </w:rPr>
              <w:t>Democracy.</w:t>
            </w:r>
          </w:p>
        </w:tc>
      </w:tr>
      <w:tr w:rsidR="007D0DD6" w:rsidRPr="00C374AB" w14:paraId="6A08AD30" w14:textId="77777777" w:rsidTr="007D714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4F0EAE33" w14:textId="77777777" w:rsidR="007D0DD6" w:rsidRPr="000F254D" w:rsidRDefault="007D0DD6" w:rsidP="007D0DD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 w:rsidRPr="000F254D"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2"/>
            <w:shd w:val="clear" w:color="auto" w:fill="F1A983" w:themeFill="accent2" w:themeFillTint="99"/>
            <w:vAlign w:val="center"/>
          </w:tcPr>
          <w:p w14:paraId="36B631E6" w14:textId="13BD7825" w:rsidR="007D0DD6" w:rsidRPr="005A1AAC" w:rsidRDefault="007D0DD6" w:rsidP="007D0DD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>Musicals</w:t>
            </w: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ab/>
            </w: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F1A983" w:themeFill="accent2" w:themeFillTint="99"/>
            <w:vAlign w:val="center"/>
          </w:tcPr>
          <w:p w14:paraId="07C28360" w14:textId="5FDB0052" w:rsidR="007D0DD6" w:rsidRPr="005A1AAC" w:rsidRDefault="007D0DD6" w:rsidP="007D0DD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>Film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Music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3"/>
            <w:shd w:val="clear" w:color="auto" w:fill="F1A983" w:themeFill="accent2" w:themeFillTint="99"/>
            <w:vAlign w:val="center"/>
          </w:tcPr>
          <w:p w14:paraId="6723F8B2" w14:textId="1017E7C0" w:rsidR="007D0DD6" w:rsidRPr="005A1AAC" w:rsidRDefault="007D0DD6" w:rsidP="007D0DD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 xml:space="preserve">Pop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Music </w:t>
            </w: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 xml:space="preserve">ong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W</w:t>
            </w:r>
            <w:r w:rsidRPr="007D714E">
              <w:rPr>
                <w:rFonts w:asciiTheme="minorHAnsi" w:hAnsiTheme="minorHAnsi" w:cstheme="minorHAnsi"/>
                <w:b/>
                <w:bCs/>
                <w:szCs w:val="20"/>
              </w:rPr>
              <w:t>riting</w:t>
            </w:r>
          </w:p>
        </w:tc>
      </w:tr>
      <w:tr w:rsidR="007D0DD6" w:rsidRPr="00C374AB" w14:paraId="681AFD36" w14:textId="77777777" w:rsidTr="007D7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72636CE9" w14:textId="456DC909" w:rsidR="007D0DD6" w:rsidRPr="000F254D" w:rsidRDefault="007D0DD6" w:rsidP="007D0DD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Learning Links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4" w:type="pct"/>
            <w:gridSpan w:val="2"/>
            <w:shd w:val="clear" w:color="auto" w:fill="F1A983" w:themeFill="accent2" w:themeFillTint="99"/>
            <w:vAlign w:val="center"/>
          </w:tcPr>
          <w:p w14:paraId="6B56299E" w14:textId="2228DC6E" w:rsidR="007D0DD6" w:rsidRPr="00B06BBA" w:rsidRDefault="003E0656" w:rsidP="007D0DD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hyperlink r:id="rId13" w:history="1">
              <w:r w:rsidRPr="00D01D6A">
                <w:rPr>
                  <w:rStyle w:val="Hyperlink"/>
                  <w:rFonts w:asciiTheme="minorHAnsi" w:hAnsiTheme="minorHAnsi" w:cstheme="minorHAnsi"/>
                  <w:szCs w:val="20"/>
                </w:rPr>
                <w:t>https://www.thenational.academy/teachers/programmes/music-secondary-ks3-l/units/fusions-b6e5/lessons?sid-a6e714=7nef6-9tUf&amp;sm=1&amp;src=3</w:t>
              </w:r>
            </w:hyperlink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7" w:type="pct"/>
            <w:gridSpan w:val="2"/>
            <w:shd w:val="clear" w:color="auto" w:fill="F1A983" w:themeFill="accent2" w:themeFillTint="99"/>
            <w:vAlign w:val="center"/>
          </w:tcPr>
          <w:p w14:paraId="63877FB8" w14:textId="3299D5AC" w:rsidR="007D0DD6" w:rsidRPr="00B06BBA" w:rsidRDefault="00AC732E" w:rsidP="007D0DD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hyperlink r:id="rId14" w:history="1">
              <w:r w:rsidRPr="00D01D6A">
                <w:rPr>
                  <w:rStyle w:val="Hyperlink"/>
                  <w:rFonts w:asciiTheme="minorHAnsi" w:hAnsiTheme="minorHAnsi" w:cstheme="minorHAnsi"/>
                  <w:szCs w:val="20"/>
                </w:rPr>
                <w:t>https://www.thenational.academy/teachers/programmes/music-secondary-ks3-l/units/using-technology-musically-film-music-2371/lessons?sid-2ed727=9J387gBofd&amp;sm=1&amp;src=3</w:t>
              </w:r>
            </w:hyperlink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1" w:type="pct"/>
            <w:gridSpan w:val="3"/>
            <w:shd w:val="clear" w:color="auto" w:fill="F1A983" w:themeFill="accent2" w:themeFillTint="99"/>
            <w:vAlign w:val="center"/>
          </w:tcPr>
          <w:p w14:paraId="603B9048" w14:textId="0BD17E9B" w:rsidR="007D0DD6" w:rsidRPr="00B06BBA" w:rsidRDefault="00DD3B95" w:rsidP="007D0DD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hyperlink r:id="rId15" w:history="1">
              <w:r w:rsidRPr="00D01D6A">
                <w:rPr>
                  <w:rStyle w:val="Hyperlink"/>
                  <w:rFonts w:asciiTheme="minorHAnsi" w:hAnsiTheme="minorHAnsi" w:cstheme="minorHAnsi"/>
                  <w:szCs w:val="20"/>
                </w:rPr>
                <w:t>https://www.thenational.academy/teachers/programmes/music-secondary-ks3-l/units/band-musicianship-3-songs-for-a-better-world-125b/lessons?sid-92a427=3fYTB5OT6N&amp;sm=1&amp;src=3</w:t>
              </w:r>
            </w:hyperlink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7D0DD6" w:rsidRPr="00C374AB" w14:paraId="3C6D7C9F" w14:textId="77777777" w:rsidTr="00AD6282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69E8F32F" w14:textId="77777777" w:rsidR="007D0DD6" w:rsidRPr="00760E06" w:rsidRDefault="007D0DD6" w:rsidP="007D0DD6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4" w:type="pct"/>
            <w:shd w:val="clear" w:color="auto" w:fill="F1A983" w:themeFill="accent2" w:themeFillTint="99"/>
            <w:vAlign w:val="center"/>
          </w:tcPr>
          <w:p w14:paraId="5AED83DC" w14:textId="605396B0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1A983" w:themeFill="accent2" w:themeFillTint="99"/>
            <w:vAlign w:val="center"/>
          </w:tcPr>
          <w:p w14:paraId="64E88156" w14:textId="2EBE947F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38" w:type="pct"/>
            <w:shd w:val="clear" w:color="auto" w:fill="F1A983" w:themeFill="accent2" w:themeFillTint="99"/>
            <w:vAlign w:val="center"/>
          </w:tcPr>
          <w:p w14:paraId="685B711D" w14:textId="79FE603A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shd w:val="clear" w:color="auto" w:fill="F1A983" w:themeFill="accent2" w:themeFillTint="99"/>
            <w:vAlign w:val="center"/>
          </w:tcPr>
          <w:p w14:paraId="442C3BED" w14:textId="77777777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6" w:type="pct"/>
            <w:shd w:val="clear" w:color="auto" w:fill="F1A983" w:themeFill="accent2" w:themeFillTint="99"/>
          </w:tcPr>
          <w:p w14:paraId="5F88E5F3" w14:textId="48F4FF99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" w:type="pct"/>
            <w:gridSpan w:val="2"/>
            <w:shd w:val="clear" w:color="auto" w:fill="F1A983" w:themeFill="accent2" w:themeFillTint="99"/>
            <w:vAlign w:val="center"/>
          </w:tcPr>
          <w:p w14:paraId="21EA8142" w14:textId="37DA3376" w:rsidR="007D0DD6" w:rsidRPr="001C7BA8" w:rsidRDefault="007D0DD6" w:rsidP="007D0DD6">
            <w:pPr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</w:p>
        </w:tc>
      </w:tr>
      <w:tr w:rsidR="007D0DD6" w:rsidRPr="00C374AB" w14:paraId="598A0769" w14:textId="77777777" w:rsidTr="00AD6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1A983" w:themeFill="accent2" w:themeFillTint="99"/>
            <w:vAlign w:val="center"/>
          </w:tcPr>
          <w:p w14:paraId="4F52A9B7" w14:textId="77777777" w:rsidR="007D0DD6" w:rsidRDefault="007D0DD6" w:rsidP="007D0D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2EDD2468" wp14:editId="74CA7A40">
                  <wp:extent cx="403436" cy="403436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45B609" w14:textId="77777777" w:rsidR="007D0DD6" w:rsidRPr="00760E06" w:rsidRDefault="007D0DD6" w:rsidP="007D0DD6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gridSpan w:val="7"/>
            <w:shd w:val="clear" w:color="auto" w:fill="F1A983" w:themeFill="accent2" w:themeFillTint="99"/>
            <w:vAlign w:val="center"/>
          </w:tcPr>
          <w:p w14:paraId="5A6547F7" w14:textId="77777777" w:rsidR="007D0DD6" w:rsidRPr="00015D7A" w:rsidRDefault="007D0DD6" w:rsidP="007D0D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CEIAG – </w:t>
            </w:r>
            <w:r w:rsidRPr="00015D7A">
              <w:rPr>
                <w:rFonts w:asciiTheme="majorHAnsi" w:hAnsiTheme="majorHAnsi" w:cstheme="majorHAnsi"/>
                <w:bCs/>
              </w:rPr>
              <w:t>Careers – listening and performing, creative composing and arranging.</w:t>
            </w:r>
          </w:p>
          <w:p w14:paraId="7A86C09E" w14:textId="77777777" w:rsidR="007D0DD6" w:rsidRPr="00015D7A" w:rsidRDefault="007D0DD6" w:rsidP="007D0DD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SMSC – </w:t>
            </w:r>
            <w:r w:rsidRPr="00015D7A">
              <w:rPr>
                <w:rFonts w:asciiTheme="majorHAnsi" w:hAnsiTheme="majorHAnsi" w:cstheme="majorHAnsi"/>
                <w:bCs/>
              </w:rPr>
              <w:t xml:space="preserve">Ethical and moral reasoning, understanding skills in different contexts, style and diversity in the arts. Cultural capital, character education, spiritual development. </w:t>
            </w:r>
          </w:p>
          <w:p w14:paraId="1E987133" w14:textId="77777777" w:rsidR="007D0DD6" w:rsidRPr="00015D7A" w:rsidRDefault="007D0DD6" w:rsidP="007D0DD6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ENRICHMENT – </w:t>
            </w:r>
            <w:r w:rsidRPr="00015D7A">
              <w:rPr>
                <w:rFonts w:asciiTheme="majorHAnsi" w:hAnsiTheme="majorHAnsi" w:cstheme="majorHAnsi"/>
                <w:bCs/>
              </w:rPr>
              <w:t xml:space="preserve">Performance styles, instrument skills. </w:t>
            </w:r>
          </w:p>
          <w:p w14:paraId="593B787C" w14:textId="77777777" w:rsidR="007D0DD6" w:rsidRPr="00AE0CCA" w:rsidRDefault="007D0DD6" w:rsidP="007D0D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15D7A">
              <w:rPr>
                <w:rFonts w:asciiTheme="majorHAnsi" w:hAnsiTheme="majorHAnsi" w:cstheme="majorHAnsi"/>
                <w:b/>
              </w:rPr>
              <w:t xml:space="preserve">BRITISH VALUES – </w:t>
            </w:r>
            <w:r w:rsidRPr="00015D7A">
              <w:rPr>
                <w:rFonts w:asciiTheme="majorHAnsi" w:hAnsiTheme="majorHAnsi" w:cstheme="majorHAnsi"/>
                <w:bCs/>
              </w:rPr>
              <w:t>Respect and tolerance, democracy.</w:t>
            </w:r>
          </w:p>
        </w:tc>
      </w:tr>
    </w:tbl>
    <w:p w14:paraId="1F4B233C" w14:textId="77777777" w:rsidR="007D714E" w:rsidRDefault="007D714E" w:rsidP="007D714E"/>
    <w:tbl>
      <w:tblPr>
        <w:tblStyle w:val="PlainTable2"/>
        <w:tblpPr w:leftFromText="180" w:rightFromText="180" w:vertAnchor="text" w:horzAnchor="margin" w:tblpXSpec="center" w:tblpY="-40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20715"/>
      </w:tblGrid>
      <w:tr w:rsidR="007D714E" w:rsidRPr="00C374AB" w14:paraId="401DE9C5" w14:textId="77777777" w:rsidTr="00AD6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FFF00"/>
            <w:vAlign w:val="center"/>
          </w:tcPr>
          <w:p w14:paraId="20937157" w14:textId="77777777" w:rsidR="007D714E" w:rsidRPr="00AD1BAF" w:rsidRDefault="007D714E" w:rsidP="00AD6282">
            <w:pPr>
              <w:jc w:val="center"/>
              <w:rPr>
                <w:noProof/>
                <w:highlight w:val="yellow"/>
              </w:rPr>
            </w:pPr>
            <w:r w:rsidRPr="00AD1BA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E-Safety</w:t>
            </w:r>
            <w:r w:rsidRPr="00AD1BAF">
              <w:rPr>
                <w:rStyle w:val="eop"/>
                <w:rFonts w:ascii="Calibri" w:eastAsiaTheme="majorEastAsia" w:hAnsi="Calibri" w:cs="Calibri"/>
                <w:color w:val="000000"/>
                <w:highlight w:val="yellow"/>
                <w:shd w:val="clear" w:color="auto" w:fill="FFFFFF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12" w:type="pct"/>
            <w:shd w:val="clear" w:color="auto" w:fill="FFFF00"/>
            <w:vAlign w:val="center"/>
          </w:tcPr>
          <w:p w14:paraId="536FE774" w14:textId="77777777" w:rsidR="007D714E" w:rsidRDefault="007D714E" w:rsidP="00AD62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Use of secure websites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070F269C" w14:textId="77777777" w:rsidR="007D714E" w:rsidRDefault="007D714E" w:rsidP="00AD62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No use of personal details 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6B48DD80" w14:textId="77777777" w:rsidR="007D714E" w:rsidRDefault="007D714E" w:rsidP="00AD62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Internet used as research tool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6566657E" w14:textId="77777777" w:rsidR="007D714E" w:rsidRDefault="007D714E" w:rsidP="00AD62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b/>
                <w:bCs/>
              </w:rPr>
              <w:t>Use of computers in line with school policy</w:t>
            </w:r>
            <w:r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  <w:p w14:paraId="2450857E" w14:textId="77777777" w:rsidR="007D714E" w:rsidRPr="00AE0CCA" w:rsidRDefault="007D714E" w:rsidP="00AD628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69E10D8" w14:textId="77777777" w:rsidR="007D714E" w:rsidRDefault="007D714E" w:rsidP="007D71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</w:pPr>
    </w:p>
    <w:p w14:paraId="08F905FD" w14:textId="77777777" w:rsidR="007D714E" w:rsidRPr="001C7BA8" w:rsidRDefault="007D714E" w:rsidP="007D714E">
      <w:pPr>
        <w:spacing w:line="259" w:lineRule="auto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br w:type="page"/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lastRenderedPageBreak/>
        <w:t>Wc</w:t>
      </w:r>
      <w:r w:rsidRPr="001C7BA8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here</w:t>
      </w:r>
      <w:proofErr w:type="spellEnd"/>
      <w:r w:rsidRPr="001C7BA8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does ‘Respect, Inspire and Achieve’ feature in our curriculum?</w:t>
      </w:r>
    </w:p>
    <w:p w14:paraId="54677461" w14:textId="77777777" w:rsidR="007D714E" w:rsidRPr="001C7BA8" w:rsidRDefault="007D714E" w:rsidP="007D714E">
      <w:pPr>
        <w:textAlignment w:val="baseline"/>
        <w:rPr>
          <w:rFonts w:ascii="Segoe UI" w:hAnsi="Segoe UI" w:cs="Segoe UI"/>
          <w:color w:val="1F3763"/>
          <w:sz w:val="18"/>
          <w:szCs w:val="18"/>
          <w:lang w:eastAsia="en-GB"/>
        </w:rPr>
      </w:pPr>
      <w:r w:rsidRPr="001C7BA8">
        <w:rPr>
          <w:rFonts w:ascii="Arial" w:hAnsi="Arial" w:cs="Arial"/>
          <w:color w:val="FFAE00"/>
          <w:sz w:val="22"/>
          <w:szCs w:val="22"/>
          <w:lang w:val="en-US" w:eastAsia="en-GB"/>
        </w:rPr>
        <w:t>Vision</w:t>
      </w:r>
      <w:r w:rsidRPr="001C7BA8">
        <w:rPr>
          <w:rFonts w:ascii="Arial" w:hAnsi="Arial" w:cs="Arial"/>
          <w:color w:val="FFAE00"/>
          <w:sz w:val="22"/>
          <w:szCs w:val="22"/>
          <w:lang w:eastAsia="en-GB"/>
        </w:rPr>
        <w:t> </w:t>
      </w:r>
    </w:p>
    <w:p w14:paraId="1FE8934B" w14:textId="77777777" w:rsidR="007D714E" w:rsidRDefault="007D714E" w:rsidP="007D714E">
      <w:pPr>
        <w:textAlignment w:val="baseline"/>
        <w:rPr>
          <w:rFonts w:ascii="Calibri" w:hAnsi="Calibri" w:cs="Calibri"/>
          <w:color w:val="444444"/>
          <w:sz w:val="21"/>
          <w:szCs w:val="21"/>
          <w:lang w:eastAsia="en-GB"/>
        </w:rPr>
      </w:pPr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To ensure that all young people, regardless of their background, achieve their best in a safe, secure, caring yet challenging learning environment where </w:t>
      </w:r>
      <w:proofErr w:type="gramStart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>all of</w:t>
      </w:r>
      <w:proofErr w:type="gramEnd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 our students are inspired to respect others.  To develop their talents and to raise their aspirations to leave school with the academic, social and practical skills to lead a successful, happy and responsible life.</w:t>
      </w:r>
      <w:r w:rsidRPr="001C7BA8">
        <w:rPr>
          <w:rFonts w:ascii="Calibri" w:hAnsi="Calibri" w:cs="Calibri"/>
          <w:color w:val="444444"/>
          <w:sz w:val="21"/>
          <w:szCs w:val="21"/>
          <w:lang w:eastAsia="en-GB"/>
        </w:rPr>
        <w:t> </w:t>
      </w:r>
    </w:p>
    <w:p w14:paraId="386766DC" w14:textId="77777777" w:rsidR="007D714E" w:rsidRPr="001C7BA8" w:rsidRDefault="007D714E" w:rsidP="007D714E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p w14:paraId="71E1CBC1" w14:textId="77777777" w:rsidR="007D714E" w:rsidRPr="004367E3" w:rsidRDefault="007D714E" w:rsidP="007D714E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4367E3">
        <w:rPr>
          <w:rFonts w:ascii="Calibri" w:hAnsi="Calibri" w:cs="Calibri"/>
          <w:sz w:val="22"/>
          <w:szCs w:val="22"/>
          <w:lang w:eastAsia="en-GB"/>
        </w:rPr>
        <w:t> </w:t>
      </w: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4203"/>
      </w:tblGrid>
      <w:tr w:rsidR="007D714E" w:rsidRPr="00AA6908" w14:paraId="212C1C24" w14:textId="77777777" w:rsidTr="00AD6282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2900A" w14:textId="77777777" w:rsidR="007D714E" w:rsidRPr="004367E3" w:rsidRDefault="007D714E" w:rsidP="00AD6282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RESPCT</w:t>
            </w:r>
            <w:r w:rsidRPr="004367E3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CC33F" w14:textId="77777777" w:rsidR="007D714E" w:rsidRPr="004367E3" w:rsidRDefault="007D714E" w:rsidP="00AD6282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Politeness, </w:t>
            </w:r>
            <w:proofErr w:type="spellStart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honour</w:t>
            </w:r>
            <w:proofErr w:type="spellEnd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, and care shown towards someone or something that is considered important (OED)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278B2C38" w14:textId="77777777" w:rsidR="007D714E" w:rsidRPr="004367E3" w:rsidRDefault="007D714E" w:rsidP="00AD6282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Consider: Respect for other people, beliefs, culture, </w:t>
            </w:r>
            <w:proofErr w:type="spellStart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behaviour</w:t>
            </w:r>
            <w:proofErr w:type="spellEnd"/>
            <w:r w:rsidRPr="004367E3">
              <w:rPr>
                <w:rFonts w:ascii="Calibri" w:hAnsi="Calibri" w:cs="Calibri"/>
                <w:sz w:val="22"/>
                <w:szCs w:val="22"/>
                <w:lang w:val="en-US" w:eastAsia="en-GB"/>
              </w:rPr>
              <w:t>, learning, the environment…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7D714E" w:rsidRPr="00AA6908" w14:paraId="3B54E8E6" w14:textId="77777777" w:rsidTr="00AD6282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0429B" w14:textId="77777777" w:rsidR="007D714E" w:rsidRPr="00015D7A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015D7A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7</w:t>
            </w:r>
            <w:r w:rsidRPr="00015D7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8 &amp; 9</w:t>
            </w:r>
          </w:p>
        </w:tc>
        <w:tc>
          <w:tcPr>
            <w:tcW w:w="1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8109F" w14:textId="77777777" w:rsidR="007D714E" w:rsidRPr="00015D7A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015D7A">
              <w:rPr>
                <w:rFonts w:asciiTheme="minorHAnsi" w:hAnsiTheme="minorHAnsi" w:cstheme="minorHAnsi"/>
                <w:lang w:eastAsia="en-GB"/>
              </w:rPr>
              <w:t>Performance to peers.</w:t>
            </w:r>
          </w:p>
          <w:p w14:paraId="07B27536" w14:textId="77777777" w:rsidR="007D714E" w:rsidRPr="00015D7A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015D7A">
              <w:rPr>
                <w:rFonts w:asciiTheme="minorHAnsi" w:hAnsiTheme="minorHAnsi" w:cstheme="minorHAnsi"/>
                <w:lang w:eastAsia="en-GB"/>
              </w:rPr>
              <w:t>Culture and tradition within musical genres and styles.</w:t>
            </w:r>
          </w:p>
          <w:p w14:paraId="64475D1A" w14:textId="77777777" w:rsidR="007D714E" w:rsidRPr="00015D7A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015D7A">
              <w:rPr>
                <w:rFonts w:asciiTheme="minorHAnsi" w:hAnsiTheme="minorHAnsi" w:cstheme="minorHAnsi"/>
                <w:lang w:eastAsia="en-GB"/>
              </w:rPr>
              <w:t xml:space="preserve">Analysing issues through music. </w:t>
            </w:r>
          </w:p>
          <w:p w14:paraId="20CB8909" w14:textId="77777777" w:rsidR="007D714E" w:rsidRPr="00015D7A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015D7A">
              <w:rPr>
                <w:rFonts w:asciiTheme="minorHAnsi" w:hAnsiTheme="minorHAnsi" w:cstheme="minorHAnsi"/>
                <w:lang w:eastAsia="en-GB"/>
              </w:rPr>
              <w:t xml:space="preserve">Self-reflection and regulation. </w:t>
            </w:r>
          </w:p>
        </w:tc>
      </w:tr>
    </w:tbl>
    <w:p w14:paraId="43779619" w14:textId="77777777" w:rsidR="007D714E" w:rsidRPr="00C4603E" w:rsidRDefault="007D714E" w:rsidP="007D714E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9E77D5">
        <w:rPr>
          <w:rFonts w:ascii="Calibri" w:hAnsi="Calibri" w:cs="Calibri"/>
          <w:sz w:val="22"/>
          <w:szCs w:val="22"/>
          <w:lang w:val="en-US" w:eastAsia="en-GB"/>
        </w:rPr>
        <w:t> </w:t>
      </w:r>
      <w:r w:rsidRPr="009E77D5">
        <w:rPr>
          <w:rFonts w:ascii="Calibri" w:hAnsi="Calibri" w:cs="Calibri"/>
          <w:sz w:val="22"/>
          <w:szCs w:val="22"/>
          <w:lang w:eastAsia="en-GB"/>
        </w:rPr>
        <w:t> </w:t>
      </w: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183"/>
      </w:tblGrid>
      <w:tr w:rsidR="007D714E" w:rsidRPr="00AA6908" w14:paraId="072B28EC" w14:textId="77777777" w:rsidTr="00AD6282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60F0D" w14:textId="77777777" w:rsidR="007D714E" w:rsidRPr="00C4603E" w:rsidRDefault="007D714E" w:rsidP="00AD6282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INSPIRE</w:t>
            </w:r>
            <w:r w:rsidRPr="00C4603E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C5AFD" w14:textId="77777777" w:rsidR="007D714E" w:rsidRPr="00C4603E" w:rsidRDefault="007D714E" w:rsidP="00AD6282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The desire, confidence, or enthusiasm to do something well (OED)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307B59A7" w14:textId="77777777" w:rsidR="007D714E" w:rsidRPr="00C4603E" w:rsidRDefault="007D714E" w:rsidP="00AD6282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Consider: Aspirations, future learning/ study, how to improve, target setting to achieve goals…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7D714E" w:rsidRPr="00AA6908" w14:paraId="1970C7FF" w14:textId="77777777" w:rsidTr="00AD6282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DA3A1" w14:textId="77777777" w:rsidR="007D714E" w:rsidRPr="00015D7A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015D7A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7, 8 &amp; 9</w:t>
            </w:r>
          </w:p>
        </w:tc>
        <w:tc>
          <w:tcPr>
            <w:tcW w:w="1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B0C4F" w14:textId="77777777" w:rsidR="007D714E" w:rsidRPr="00015D7A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015D7A">
              <w:rPr>
                <w:rFonts w:asciiTheme="minorHAnsi" w:hAnsiTheme="minorHAnsi" w:cstheme="minorHAnsi"/>
                <w:lang w:eastAsia="en-GB"/>
              </w:rPr>
              <w:t>Promoting a love of musical understanding.</w:t>
            </w:r>
          </w:p>
          <w:p w14:paraId="43E43513" w14:textId="77777777" w:rsidR="007D714E" w:rsidRPr="00015D7A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015D7A">
              <w:rPr>
                <w:rFonts w:asciiTheme="minorHAnsi" w:hAnsiTheme="minorHAnsi" w:cstheme="minorHAnsi"/>
                <w:lang w:eastAsia="en-GB"/>
              </w:rPr>
              <w:t>Understanding and skills development of a range of instruments.</w:t>
            </w:r>
          </w:p>
          <w:p w14:paraId="24D4F5D7" w14:textId="77777777" w:rsidR="007D714E" w:rsidRPr="00015D7A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015D7A">
              <w:rPr>
                <w:rFonts w:asciiTheme="minorHAnsi" w:hAnsiTheme="minorHAnsi" w:cstheme="minorHAnsi"/>
                <w:lang w:eastAsia="en-GB"/>
              </w:rPr>
              <w:t xml:space="preserve">Spotlight on musical artists and performers. </w:t>
            </w:r>
          </w:p>
          <w:p w14:paraId="18E80E14" w14:textId="77777777" w:rsidR="007D714E" w:rsidRPr="00015D7A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015D7A">
              <w:rPr>
                <w:rFonts w:asciiTheme="minorHAnsi" w:hAnsiTheme="minorHAnsi" w:cstheme="minorHAnsi"/>
                <w:lang w:eastAsia="en-GB"/>
              </w:rPr>
              <w:t>Use of music technology.</w:t>
            </w:r>
          </w:p>
        </w:tc>
      </w:tr>
    </w:tbl>
    <w:p w14:paraId="16B533FE" w14:textId="77777777" w:rsidR="007D714E" w:rsidRPr="00AA6908" w:rsidRDefault="007D714E" w:rsidP="007D714E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AA6908">
        <w:rPr>
          <w:rFonts w:ascii="Calibri" w:hAnsi="Calibri" w:cs="Calibri"/>
          <w:sz w:val="22"/>
          <w:szCs w:val="22"/>
          <w:lang w:val="en-US" w:eastAsia="en-GB"/>
        </w:rPr>
        <w:t> </w:t>
      </w:r>
      <w:r w:rsidRPr="00AA6908">
        <w:rPr>
          <w:rFonts w:ascii="Calibri" w:hAnsi="Calibri" w:cs="Calibri"/>
          <w:sz w:val="22"/>
          <w:szCs w:val="22"/>
          <w:lang w:eastAsia="en-GB"/>
        </w:rPr>
        <w:t> </w:t>
      </w: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183"/>
      </w:tblGrid>
      <w:tr w:rsidR="007D714E" w:rsidRPr="00AA6908" w14:paraId="1956B7D7" w14:textId="77777777" w:rsidTr="00AD6282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84D26" w14:textId="77777777" w:rsidR="007D714E" w:rsidRPr="00C4603E" w:rsidRDefault="007D714E" w:rsidP="00AD6282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ACHIEVE</w:t>
            </w:r>
            <w:r w:rsidRPr="00C4603E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47549" w14:textId="77777777" w:rsidR="007D714E" w:rsidRPr="00C4603E" w:rsidRDefault="007D714E" w:rsidP="00AD6282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To succeed in reaching a particular goal, status, or standard, especially by </w:t>
            </w:r>
            <w:proofErr w:type="gramStart"/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making an effort</w:t>
            </w:r>
            <w:proofErr w:type="gramEnd"/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for a long time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4AA43A20" w14:textId="77777777" w:rsidR="007D714E" w:rsidRPr="00C4603E" w:rsidRDefault="007D714E" w:rsidP="00AD6282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sz w:val="22"/>
                <w:szCs w:val="22"/>
                <w:lang w:val="en-US" w:eastAsia="en-GB"/>
              </w:rPr>
              <w:t>Consider: Achieve targets, improving work/ grades…</w:t>
            </w:r>
            <w:r w:rsidRPr="00C4603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7D714E" w:rsidRPr="00AA6908" w14:paraId="27752CB2" w14:textId="77777777" w:rsidTr="00AD6282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78142" w14:textId="77777777" w:rsidR="007D714E" w:rsidRPr="00957438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957438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7</w:t>
            </w:r>
            <w:r w:rsidRPr="0095743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8 &amp; 9</w:t>
            </w:r>
          </w:p>
        </w:tc>
        <w:tc>
          <w:tcPr>
            <w:tcW w:w="1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685C3" w14:textId="11215BAC" w:rsidR="007D714E" w:rsidRPr="00957438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957438">
              <w:rPr>
                <w:rFonts w:asciiTheme="minorHAnsi" w:hAnsiTheme="minorHAnsi" w:cstheme="minorHAnsi"/>
                <w:lang w:eastAsia="en-GB"/>
              </w:rPr>
              <w:t xml:space="preserve">Practical and theoretical </w:t>
            </w:r>
            <w:r w:rsidR="00015D7A" w:rsidRPr="00957438">
              <w:rPr>
                <w:rFonts w:asciiTheme="minorHAnsi" w:hAnsiTheme="minorHAnsi" w:cstheme="minorHAnsi"/>
                <w:lang w:eastAsia="en-GB"/>
              </w:rPr>
              <w:t>a</w:t>
            </w:r>
            <w:r w:rsidRPr="00957438">
              <w:rPr>
                <w:rFonts w:asciiTheme="minorHAnsi" w:hAnsiTheme="minorHAnsi" w:cstheme="minorHAnsi"/>
                <w:lang w:eastAsia="en-GB"/>
              </w:rPr>
              <w:t>ssessment with a focus on the building blocks of music.</w:t>
            </w:r>
          </w:p>
          <w:p w14:paraId="6FC659F0" w14:textId="77777777" w:rsidR="007D714E" w:rsidRPr="00957438" w:rsidRDefault="007D714E" w:rsidP="00AD6282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957438">
              <w:rPr>
                <w:rFonts w:asciiTheme="minorHAnsi" w:hAnsiTheme="minorHAnsi" w:cstheme="minorHAnsi"/>
                <w:lang w:eastAsia="en-GB"/>
              </w:rPr>
              <w:t>Developing new skills.</w:t>
            </w:r>
          </w:p>
        </w:tc>
      </w:tr>
    </w:tbl>
    <w:p w14:paraId="554080B4" w14:textId="77777777" w:rsidR="007D714E" w:rsidRDefault="007D714E" w:rsidP="007D714E"/>
    <w:p w14:paraId="269663A4" w14:textId="77777777" w:rsidR="007D714E" w:rsidRDefault="007D714E" w:rsidP="007D714E"/>
    <w:p w14:paraId="727953C8" w14:textId="77777777" w:rsidR="007D714E" w:rsidRDefault="007D714E" w:rsidP="007D714E"/>
    <w:p w14:paraId="33900B41" w14:textId="77777777" w:rsidR="007D714E" w:rsidRDefault="007D714E" w:rsidP="007D714E"/>
    <w:p w14:paraId="0D5EBF67" w14:textId="77777777" w:rsidR="00C411E9" w:rsidRDefault="00C411E9"/>
    <w:sectPr w:rsidR="00C411E9" w:rsidSect="007D714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811" w:h="16838" w:orient="landscape" w:code="8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5DD8C" w14:textId="77777777" w:rsidR="007D714E" w:rsidRDefault="007D714E" w:rsidP="007D714E">
      <w:r>
        <w:separator/>
      </w:r>
    </w:p>
  </w:endnote>
  <w:endnote w:type="continuationSeparator" w:id="0">
    <w:p w14:paraId="72051084" w14:textId="77777777" w:rsidR="007D714E" w:rsidRDefault="007D714E" w:rsidP="007D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3C05" w14:textId="77777777" w:rsidR="007D714E" w:rsidRDefault="007D7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4F1B" w14:textId="77777777" w:rsidR="007D714E" w:rsidRPr="00DD359D" w:rsidRDefault="007D714E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2878F6">
      <w:rPr>
        <w:rFonts w:asciiTheme="majorHAnsi" w:hAnsiTheme="majorHAnsi" w:cstheme="majorHAnsi"/>
        <w:b/>
        <w:bCs/>
        <w:i/>
        <w:iCs/>
      </w:rPr>
      <w:t>Key:</w:t>
    </w:r>
    <w:r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Pr="00DD359D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Pr="00201576">
      <w:rPr>
        <w:rFonts w:asciiTheme="minorHAnsi" w:hAnsiTheme="minorHAnsi" w:cstheme="minorHAnsi"/>
        <w:b/>
        <w:bCs/>
        <w:color w:val="00B050"/>
        <w:sz w:val="36"/>
        <w:szCs w:val="36"/>
      </w:rPr>
      <w:t>SMSC</w:t>
    </w:r>
    <w:r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 </w:t>
    </w:r>
    <w:r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Enrichment</w:t>
    </w:r>
    <w:r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Pr="000A44B5">
      <w:rPr>
        <w:rFonts w:asciiTheme="minorHAnsi" w:hAnsiTheme="minorHAnsi" w:cstheme="minorHAnsi"/>
        <w:b/>
        <w:bCs/>
        <w:color w:val="0070C0"/>
        <w:sz w:val="36"/>
        <w:szCs w:val="36"/>
      </w:rPr>
      <w:t>British Values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12B5" w14:textId="77777777" w:rsidR="007D714E" w:rsidRDefault="007D7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7BC77" w14:textId="77777777" w:rsidR="007D714E" w:rsidRDefault="007D714E" w:rsidP="007D714E">
      <w:r>
        <w:separator/>
      </w:r>
    </w:p>
  </w:footnote>
  <w:footnote w:type="continuationSeparator" w:id="0">
    <w:p w14:paraId="5FAFAE15" w14:textId="77777777" w:rsidR="007D714E" w:rsidRDefault="007D714E" w:rsidP="007D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A5E6" w14:textId="77777777" w:rsidR="007D714E" w:rsidRDefault="007D7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EC9A" w14:textId="37BA0E73" w:rsidR="007D714E" w:rsidRPr="000F254D" w:rsidRDefault="007D714E" w:rsidP="00972B95">
    <w:pPr>
      <w:pStyle w:val="Header"/>
      <w:rPr>
        <w:rFonts w:asciiTheme="minorHAnsi" w:hAnsiTheme="minorHAnsi" w:cstheme="minorHAnsi"/>
        <w:b/>
        <w:sz w:val="48"/>
        <w:szCs w:val="22"/>
      </w:rPr>
    </w:pPr>
    <w:r w:rsidRPr="00AA6355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28C2BC3B" wp14:editId="51BBFD46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48"/>
        <w:szCs w:val="22"/>
      </w:rPr>
      <w:t>KS3 Music C</w:t>
    </w:r>
    <w:r w:rsidRPr="00AA6355">
      <w:rPr>
        <w:rFonts w:asciiTheme="minorHAnsi" w:hAnsiTheme="minorHAnsi" w:cstheme="minorHAnsi"/>
        <w:b/>
        <w:sz w:val="48"/>
        <w:szCs w:val="22"/>
      </w:rPr>
      <w:t xml:space="preserve">urriculum </w:t>
    </w:r>
    <w:r>
      <w:rPr>
        <w:rFonts w:asciiTheme="minorHAnsi" w:hAnsiTheme="minorHAnsi" w:cstheme="minorHAnsi"/>
        <w:b/>
        <w:sz w:val="48"/>
        <w:szCs w:val="22"/>
      </w:rPr>
      <w:t>Map 2025/2026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9EF00" w14:textId="77777777" w:rsidR="007D714E" w:rsidRDefault="007D7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4E"/>
    <w:rsid w:val="00015D7A"/>
    <w:rsid w:val="003E0656"/>
    <w:rsid w:val="00426FD5"/>
    <w:rsid w:val="004B0930"/>
    <w:rsid w:val="007D0DD6"/>
    <w:rsid w:val="007D714E"/>
    <w:rsid w:val="00957438"/>
    <w:rsid w:val="00964863"/>
    <w:rsid w:val="00AC732E"/>
    <w:rsid w:val="00B06BBA"/>
    <w:rsid w:val="00B40433"/>
    <w:rsid w:val="00C411E9"/>
    <w:rsid w:val="00D923FA"/>
    <w:rsid w:val="00DD3B95"/>
    <w:rsid w:val="00E319D2"/>
    <w:rsid w:val="00E4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422A"/>
  <w15:chartTrackingRefBased/>
  <w15:docId w15:val="{B98682B5-963B-4763-91C1-DBA2BA0B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 Cen MT" w:eastAsiaTheme="minorHAnsi" w:hAnsi="Tw Cen MT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4E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1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1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1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1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1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1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1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1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1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1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1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1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1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1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1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1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71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14E"/>
    <w:pPr>
      <w:spacing w:before="160" w:after="160"/>
      <w:jc w:val="center"/>
    </w:pPr>
    <w:rPr>
      <w:rFonts w:ascii="Tw Cen MT" w:eastAsiaTheme="minorHAnsi" w:hAnsi="Tw Cen MT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7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14E"/>
    <w:pPr>
      <w:ind w:left="720"/>
      <w:contextualSpacing/>
    </w:pPr>
    <w:rPr>
      <w:rFonts w:ascii="Tw Cen MT" w:eastAsiaTheme="minorHAnsi" w:hAnsi="Tw Cen MT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7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w Cen MT" w:eastAsiaTheme="minorHAnsi" w:hAnsi="Tw Cen MT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1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D7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714E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rsid w:val="007D7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714E"/>
    <w:rPr>
      <w:rFonts w:ascii="Times New Roman" w:eastAsia="Times New Roman" w:hAnsi="Times New Roman" w:cs="Times New Roman"/>
      <w:kern w:val="0"/>
      <w:szCs w:val="24"/>
      <w14:ligatures w14:val="none"/>
    </w:rPr>
  </w:style>
  <w:style w:type="table" w:styleId="PlainTable2">
    <w:name w:val="Plain Table 2"/>
    <w:basedOn w:val="TableNormal"/>
    <w:uiPriority w:val="42"/>
    <w:rsid w:val="007D714E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7D714E"/>
  </w:style>
  <w:style w:type="character" w:customStyle="1" w:styleId="eop">
    <w:name w:val="eop"/>
    <w:basedOn w:val="DefaultParagraphFont"/>
    <w:rsid w:val="007D714E"/>
  </w:style>
  <w:style w:type="paragraph" w:customStyle="1" w:styleId="paragraph">
    <w:name w:val="paragraph"/>
    <w:basedOn w:val="Normal"/>
    <w:rsid w:val="007D714E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4B09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.academy/teachers/programmes/music-secondary-ks3-l/units/the-power-of-the-pentatonic-608b/lessons?sid-998760=YIA9G6tcLN&amp;sm=1&amp;src=3" TargetMode="External"/><Relationship Id="rId13" Type="http://schemas.openxmlformats.org/officeDocument/2006/relationships/hyperlink" Target="https://www.thenational.academy/teachers/programmes/music-secondary-ks3-l/units/fusions-b6e5/lessons?sid-a6e714=7nef6-9tUf&amp;sm=1&amp;src=3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thenational.academy/teachers/programmes/music-secondary-ks3-l/units/band-musicianship-1-the-four-chord-trick-3b3f/lessons?sid-aff4b6=WdIXs_3GSo&amp;sm=1&amp;src=3" TargetMode="External"/><Relationship Id="rId12" Type="http://schemas.openxmlformats.org/officeDocument/2006/relationships/hyperlink" Target="https://www.thenational.academy/teachers/programmes/music-secondary-ks3-l/units/west-african-music-373e/lessons?sid-369582=DQ12JMbndi&amp;sm=1&amp;src=3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thenational.academy/teachers/programmes/music-secondary-ks3-l/units/stomp-and-sing-a4d4/lessons?sid-e15afd=L9WgA_TOTE&amp;sm=1&amp;src=3" TargetMode="External"/><Relationship Id="rId11" Type="http://schemas.openxmlformats.org/officeDocument/2006/relationships/hyperlink" Target="https://www.thenational.academy/teachers/programmes/music-secondary-ks3-l/units/the-beauty-of-the-baroque-10cd/lessons?sid-56a955=Y7wRGwif3e&amp;sm=1&amp;src=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national.academy/teachers/programmes/music-secondary-ks3-l/units/band-musicianship-3-songs-for-a-better-world-125b/lessons?sid-92a427=3fYTB5OT6N&amp;sm=1&amp;src=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enational.academy/teachers/programmes/music-secondary-ks3-l/units/band-musicianship-2-the-blues-6049/lessons?sid-9b7be2=ncHmEZ65Hy&amp;sm=1&amp;src=3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www.thenational.academy/teachers/programmes/music-secondary-ks3-l/units/using-technology-musically-film-music-2371/lessons?sid-2ed727=9J387gBofd&amp;sm=1&amp;src=3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Beacham</dc:creator>
  <cp:keywords/>
  <dc:description/>
  <cp:lastModifiedBy>Terri Beacham</cp:lastModifiedBy>
  <cp:revision>11</cp:revision>
  <dcterms:created xsi:type="dcterms:W3CDTF">2025-06-13T08:51:00Z</dcterms:created>
  <dcterms:modified xsi:type="dcterms:W3CDTF">2025-06-16T16:23:00Z</dcterms:modified>
</cp:coreProperties>
</file>