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BEFE" w14:textId="77777777" w:rsidR="00270DE8" w:rsidRPr="00972B95" w:rsidRDefault="00270DE8" w:rsidP="00270DE8">
      <w:pPr>
        <w:rPr>
          <w:rFonts w:asciiTheme="minorHAnsi" w:hAnsiTheme="minorHAnsi" w:cstheme="minorHAnsi"/>
        </w:rPr>
      </w:pPr>
    </w:p>
    <w:tbl>
      <w:tblPr>
        <w:tblStyle w:val="PlainTable2"/>
        <w:tblpPr w:leftFromText="180" w:rightFromText="180" w:vertAnchor="text" w:horzAnchor="margin" w:tblpXSpec="center" w:tblpY="-40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144"/>
        <w:gridCol w:w="49"/>
        <w:gridCol w:w="2225"/>
        <w:gridCol w:w="7"/>
        <w:gridCol w:w="2145"/>
        <w:gridCol w:w="2278"/>
        <w:gridCol w:w="1989"/>
        <w:gridCol w:w="216"/>
        <w:gridCol w:w="2228"/>
      </w:tblGrid>
      <w:tr w:rsidR="0083533B" w:rsidRPr="00D941F1" w14:paraId="6B07B286" w14:textId="77777777" w:rsidTr="00F40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C9C9C9" w:themeFill="accent3" w:themeFillTint="99"/>
            <w:vAlign w:val="center"/>
          </w:tcPr>
          <w:p w14:paraId="40DEF402" w14:textId="77777777" w:rsidR="0083533B" w:rsidRPr="00300FBB" w:rsidRDefault="0083533B" w:rsidP="003B69C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noProof/>
                <w:sz w:val="28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41340DD1" wp14:editId="0502E478">
                  <wp:simplePos x="0" y="0"/>
                  <wp:positionH relativeFrom="leftMargin">
                    <wp:posOffset>-239395</wp:posOffset>
                  </wp:positionH>
                  <wp:positionV relativeFrom="paragraph">
                    <wp:posOffset>227330</wp:posOffset>
                  </wp:positionV>
                  <wp:extent cx="317500" cy="346710"/>
                  <wp:effectExtent l="38100" t="57150" r="6350" b="53340"/>
                  <wp:wrapNone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43096">
                            <a:off x="0" y="0"/>
                            <a:ext cx="3175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6" w:type="pct"/>
            <w:shd w:val="clear" w:color="auto" w:fill="C9C9C9" w:themeFill="accent3" w:themeFillTint="99"/>
            <w:vAlign w:val="center"/>
          </w:tcPr>
          <w:p w14:paraId="4443D37B" w14:textId="77777777" w:rsidR="0083533B" w:rsidRPr="00300FBB" w:rsidRDefault="0083533B" w:rsidP="003B69C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pct"/>
            <w:gridSpan w:val="2"/>
            <w:shd w:val="clear" w:color="auto" w:fill="C9C9C9" w:themeFill="accent3" w:themeFillTint="99"/>
            <w:vAlign w:val="center"/>
          </w:tcPr>
          <w:p w14:paraId="7914FEF4" w14:textId="77777777" w:rsidR="0083533B" w:rsidRPr="00300FBB" w:rsidRDefault="0083533B" w:rsidP="003B69C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8" w:type="pct"/>
            <w:gridSpan w:val="2"/>
            <w:shd w:val="clear" w:color="auto" w:fill="C9C9C9" w:themeFill="accent3" w:themeFillTint="99"/>
            <w:vAlign w:val="center"/>
          </w:tcPr>
          <w:p w14:paraId="3585DEB6" w14:textId="77777777" w:rsidR="0083533B" w:rsidRPr="00300FBB" w:rsidRDefault="0083533B" w:rsidP="003B69C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1" w:type="pct"/>
            <w:shd w:val="clear" w:color="auto" w:fill="C9C9C9" w:themeFill="accent3" w:themeFillTint="99"/>
            <w:vAlign w:val="center"/>
          </w:tcPr>
          <w:p w14:paraId="6DB93385" w14:textId="77777777" w:rsidR="0083533B" w:rsidRPr="00300FBB" w:rsidRDefault="0083533B" w:rsidP="003B69C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3" w:type="pct"/>
            <w:shd w:val="clear" w:color="auto" w:fill="C9C9C9" w:themeFill="accent3" w:themeFillTint="99"/>
            <w:vAlign w:val="center"/>
          </w:tcPr>
          <w:p w14:paraId="699122FC" w14:textId="25A60922" w:rsidR="0083533B" w:rsidRPr="00300FBB" w:rsidRDefault="0083533B" w:rsidP="003B69C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7" w:type="pct"/>
            <w:gridSpan w:val="2"/>
            <w:shd w:val="clear" w:color="auto" w:fill="C9C9C9" w:themeFill="accent3" w:themeFillTint="99"/>
            <w:vAlign w:val="center"/>
          </w:tcPr>
          <w:p w14:paraId="7FF81341" w14:textId="77777777" w:rsidR="0083533B" w:rsidRPr="00300FBB" w:rsidRDefault="0083533B" w:rsidP="003B69C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2</w:t>
            </w:r>
          </w:p>
        </w:tc>
      </w:tr>
      <w:tr w:rsidR="00F407B3" w:rsidRPr="00C374AB" w14:paraId="3065B6A3" w14:textId="77777777" w:rsidTr="00F407B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2158C015" w14:textId="77777777" w:rsidR="00F407B3" w:rsidRPr="00760E06" w:rsidRDefault="00F407B3" w:rsidP="003B69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  <w:r>
              <w:rPr>
                <w:rFonts w:asciiTheme="minorHAnsi" w:hAnsiTheme="minorHAnsi" w:cstheme="minorHAnsi"/>
                <w:b/>
                <w:sz w:val="72"/>
                <w:szCs w:val="5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8" w:type="pct"/>
            <w:gridSpan w:val="4"/>
            <w:shd w:val="clear" w:color="auto" w:fill="D9E2F3" w:themeFill="accent1" w:themeFillTint="33"/>
            <w:vAlign w:val="center"/>
          </w:tcPr>
          <w:p w14:paraId="5257BD11" w14:textId="77777777" w:rsidR="00F407B3" w:rsidRPr="00955507" w:rsidRDefault="00F407B3" w:rsidP="003B69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Component One: Children’s Growth and Development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gridSpan w:val="2"/>
            <w:shd w:val="clear" w:color="auto" w:fill="D9E2F3" w:themeFill="accent1" w:themeFillTint="33"/>
            <w:vAlign w:val="center"/>
          </w:tcPr>
          <w:p w14:paraId="1B2F142E" w14:textId="67D929BA" w:rsidR="00F407B3" w:rsidRPr="00CD35A3" w:rsidRDefault="00F407B3" w:rsidP="003B69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Component One Assignment Task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0" w:type="pct"/>
            <w:gridSpan w:val="3"/>
            <w:shd w:val="clear" w:color="auto" w:fill="D9E2F3" w:themeFill="accent1" w:themeFillTint="33"/>
            <w:vAlign w:val="center"/>
          </w:tcPr>
          <w:p w14:paraId="419FF423" w14:textId="1990BDC5" w:rsidR="00F407B3" w:rsidRPr="00CD35A3" w:rsidRDefault="00F407B3" w:rsidP="003B69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Component Two: Learning Through Play</w:t>
            </w:r>
          </w:p>
        </w:tc>
      </w:tr>
      <w:tr w:rsidR="0083533B" w:rsidRPr="00C374AB" w14:paraId="6FD13FB3" w14:textId="77777777" w:rsidTr="004B0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491C4F79" w14:textId="77777777" w:rsidR="0083533B" w:rsidRPr="00760E06" w:rsidRDefault="0083533B" w:rsidP="003B69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4" w:type="pct"/>
            <w:gridSpan w:val="5"/>
            <w:shd w:val="clear" w:color="auto" w:fill="D9E2F3" w:themeFill="accent1" w:themeFillTint="33"/>
            <w:vAlign w:val="center"/>
          </w:tcPr>
          <w:p w14:paraId="2DEAF307" w14:textId="77777777" w:rsidR="0083533B" w:rsidRDefault="006B35AA" w:rsidP="003B69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Mock assignments</w:t>
            </w:r>
          </w:p>
          <w:p w14:paraId="706F9C61" w14:textId="52729FFF" w:rsidR="006B35AA" w:rsidRDefault="006B35AA" w:rsidP="003B69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Verbal feedback</w:t>
            </w:r>
          </w:p>
          <w:p w14:paraId="315485E9" w14:textId="0F733987" w:rsidR="006B35AA" w:rsidRPr="00E42807" w:rsidRDefault="006B35AA" w:rsidP="003B69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Written feedback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1" w:type="pct"/>
            <w:shd w:val="clear" w:color="auto" w:fill="D9E2F3" w:themeFill="accent1" w:themeFillTint="33"/>
            <w:vAlign w:val="center"/>
          </w:tcPr>
          <w:p w14:paraId="04886DEF" w14:textId="77777777" w:rsidR="004C623C" w:rsidRPr="004C623C" w:rsidRDefault="004C623C" w:rsidP="004C623C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Internal assessment of assignment</w:t>
            </w:r>
          </w:p>
          <w:p w14:paraId="218467C4" w14:textId="00EE0DA5" w:rsidR="0083533B" w:rsidRPr="00E42807" w:rsidRDefault="004C623C" w:rsidP="004C623C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External moderation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0" w:type="pct"/>
            <w:gridSpan w:val="3"/>
            <w:shd w:val="clear" w:color="auto" w:fill="D9E2F3" w:themeFill="accent1" w:themeFillTint="33"/>
            <w:vAlign w:val="center"/>
          </w:tcPr>
          <w:p w14:paraId="0032BA89" w14:textId="77777777" w:rsidR="006B35AA" w:rsidRDefault="006B35AA" w:rsidP="006B35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Mock assignments</w:t>
            </w:r>
          </w:p>
          <w:p w14:paraId="352AC8FA" w14:textId="77777777" w:rsidR="006B35AA" w:rsidRDefault="006B35AA" w:rsidP="006B35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Verbal feedback</w:t>
            </w:r>
          </w:p>
          <w:p w14:paraId="12A21A22" w14:textId="456CF9ED" w:rsidR="0083533B" w:rsidRPr="00E42807" w:rsidRDefault="006B35AA" w:rsidP="006B35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Written feedback</w:t>
            </w:r>
          </w:p>
        </w:tc>
      </w:tr>
      <w:tr w:rsidR="003771F7" w:rsidRPr="00C374AB" w14:paraId="131CD1DC" w14:textId="77777777" w:rsidTr="003771F7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49859C74" w14:textId="77777777" w:rsidR="003771F7" w:rsidRDefault="003771F7" w:rsidP="003B69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5B038564" wp14:editId="31213734">
                  <wp:extent cx="403436" cy="403436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FF3AC" w14:textId="77777777" w:rsidR="003771F7" w:rsidRPr="00760E06" w:rsidRDefault="003771F7" w:rsidP="003B69CA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9"/>
            <w:shd w:val="clear" w:color="auto" w:fill="D9E2F3" w:themeFill="accent1" w:themeFillTint="33"/>
            <w:vAlign w:val="center"/>
          </w:tcPr>
          <w:p w14:paraId="0A0B3DBC" w14:textId="5F2D3987" w:rsidR="003771F7" w:rsidRPr="00CD35A3" w:rsidRDefault="003771F7" w:rsidP="003B69CA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CEIAG – </w:t>
            </w:r>
            <w:r>
              <w:rPr>
                <w:rFonts w:asciiTheme="majorHAnsi" w:hAnsiTheme="majorHAnsi" w:cstheme="majorHAnsi"/>
              </w:rPr>
              <w:t xml:space="preserve">Working in a nursery/early years practice, role of the health visitor, </w:t>
            </w:r>
            <w:r w:rsidR="008F0FD5">
              <w:rPr>
                <w:rFonts w:asciiTheme="majorHAnsi" w:hAnsiTheme="majorHAnsi" w:cstheme="majorHAnsi"/>
              </w:rPr>
              <w:t>midwife,</w:t>
            </w:r>
            <w:r>
              <w:rPr>
                <w:rFonts w:asciiTheme="majorHAnsi" w:hAnsiTheme="majorHAnsi" w:cstheme="majorHAnsi"/>
              </w:rPr>
              <w:t xml:space="preserve"> and other carers of new-born babies, using the Personal Child Health Record and centile charts</w:t>
            </w:r>
            <w:r w:rsidR="008F0FD5">
              <w:rPr>
                <w:rFonts w:asciiTheme="majorHAnsi" w:hAnsiTheme="majorHAnsi" w:cstheme="majorHAnsi"/>
              </w:rPr>
              <w:t xml:space="preserve">. </w:t>
            </w:r>
          </w:p>
          <w:p w14:paraId="7ADE5B55" w14:textId="52F4FA81" w:rsidR="003771F7" w:rsidRPr="00431306" w:rsidRDefault="003771F7" w:rsidP="003B69CA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>SMSC –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>Care values, supporting others, c</w:t>
            </w:r>
            <w:r>
              <w:rPr>
                <w:rFonts w:asciiTheme="majorHAnsi" w:hAnsiTheme="majorHAnsi" w:cstheme="majorHAnsi"/>
                <w:bCs/>
              </w:rPr>
              <w:t xml:space="preserve">ultural capital, character education, spiritual development. </w:t>
            </w:r>
          </w:p>
          <w:p w14:paraId="7ADABB21" w14:textId="0985A8DD" w:rsidR="003771F7" w:rsidRPr="008B4D11" w:rsidRDefault="003771F7" w:rsidP="003B69CA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ENRICHMENT – </w:t>
            </w:r>
            <w:r>
              <w:rPr>
                <w:rFonts w:asciiTheme="majorHAnsi" w:hAnsiTheme="majorHAnsi" w:cstheme="majorHAnsi"/>
              </w:rPr>
              <w:t>Visits to local nurseries, visiting speakers from childcare experts, links with Suffolk University</w:t>
            </w:r>
            <w:r w:rsidR="00CA120B">
              <w:rPr>
                <w:rFonts w:asciiTheme="majorHAnsi" w:hAnsiTheme="majorHAnsi" w:cstheme="majorHAnsi"/>
              </w:rPr>
              <w:t xml:space="preserve">, work experience placements. </w:t>
            </w:r>
          </w:p>
          <w:p w14:paraId="3449ED2E" w14:textId="2CF1F87E" w:rsidR="003771F7" w:rsidRPr="00CD35A3" w:rsidRDefault="003771F7" w:rsidP="003B69CA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BRITISH VALUES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Respect and tolerance, duty of law</w:t>
            </w:r>
            <w:r w:rsidR="008F0FD5">
              <w:rPr>
                <w:rFonts w:asciiTheme="majorHAnsi" w:hAnsiTheme="majorHAnsi" w:cstheme="majorHAnsi"/>
              </w:rPr>
              <w:t>.</w:t>
            </w:r>
          </w:p>
        </w:tc>
      </w:tr>
      <w:tr w:rsidR="007C2CC1" w:rsidRPr="00C374AB" w14:paraId="107E1378" w14:textId="77777777" w:rsidTr="00F40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53AB97B9" w14:textId="77777777" w:rsidR="007C2CC1" w:rsidRPr="00760E06" w:rsidRDefault="007C2CC1" w:rsidP="003B69CA">
            <w:pPr>
              <w:jc w:val="center"/>
              <w:rPr>
                <w:noProof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  <w:r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3" w:type="pct"/>
            <w:gridSpan w:val="2"/>
            <w:shd w:val="clear" w:color="auto" w:fill="D9E2F3" w:themeFill="accent1" w:themeFillTint="33"/>
            <w:vAlign w:val="center"/>
          </w:tcPr>
          <w:p w14:paraId="1EFC2EBC" w14:textId="77777777" w:rsidR="007C2CC1" w:rsidRDefault="004C623C" w:rsidP="003B69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Component Two: Learning Through Play</w:t>
            </w:r>
          </w:p>
          <w:p w14:paraId="6C9B758B" w14:textId="26377CBA" w:rsidR="004C623C" w:rsidRPr="004C623C" w:rsidRDefault="004C623C" w:rsidP="003B69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(revision)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gridSpan w:val="2"/>
            <w:shd w:val="clear" w:color="auto" w:fill="D9E2F3" w:themeFill="accent1" w:themeFillTint="33"/>
            <w:vAlign w:val="center"/>
          </w:tcPr>
          <w:p w14:paraId="78E873E3" w14:textId="7A4C8248" w:rsidR="007C2CC1" w:rsidRPr="00AE0CCA" w:rsidRDefault="004C623C" w:rsidP="003B69C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Component Two Assignment Task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3" w:type="pct"/>
            <w:gridSpan w:val="4"/>
            <w:shd w:val="clear" w:color="auto" w:fill="D9E2F3" w:themeFill="accent1" w:themeFillTint="33"/>
            <w:vAlign w:val="center"/>
          </w:tcPr>
          <w:p w14:paraId="7682E820" w14:textId="77777777" w:rsidR="007C2CC1" w:rsidRPr="007C2CC1" w:rsidRDefault="007C2CC1" w:rsidP="007C2CC1">
            <w:pPr>
              <w:jc w:val="center"/>
              <w:rPr>
                <w:rFonts w:asciiTheme="majorHAnsi" w:hAnsiTheme="majorHAnsi" w:cstheme="majorHAnsi"/>
              </w:rPr>
            </w:pPr>
            <w:r w:rsidRPr="007C2CC1">
              <w:rPr>
                <w:rFonts w:asciiTheme="majorHAnsi" w:hAnsiTheme="majorHAnsi" w:cstheme="majorHAnsi"/>
              </w:rPr>
              <w:t xml:space="preserve">Component Three: Supporting Children to Play, Learn and </w:t>
            </w:r>
          </w:p>
          <w:p w14:paraId="1305EA22" w14:textId="77777777" w:rsidR="004C623C" w:rsidRDefault="007C2CC1" w:rsidP="004C623C">
            <w:pPr>
              <w:jc w:val="center"/>
              <w:rPr>
                <w:rFonts w:asciiTheme="majorHAnsi" w:hAnsiTheme="majorHAnsi" w:cstheme="majorHAnsi"/>
              </w:rPr>
            </w:pPr>
            <w:r w:rsidRPr="007C2CC1">
              <w:rPr>
                <w:rFonts w:asciiTheme="majorHAnsi" w:hAnsiTheme="majorHAnsi" w:cstheme="majorHAnsi"/>
              </w:rPr>
              <w:t>Develop</w:t>
            </w:r>
            <w:r w:rsidRPr="007C2CC1">
              <w:rPr>
                <w:rFonts w:asciiTheme="majorHAnsi" w:hAnsiTheme="majorHAnsi" w:cstheme="majorHAnsi"/>
              </w:rPr>
              <w:cr/>
            </w:r>
          </w:p>
          <w:p w14:paraId="1DF78177" w14:textId="2B8219C6" w:rsidR="004C623C" w:rsidRPr="004C623C" w:rsidRDefault="004C623C" w:rsidP="004C623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Exam May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shd w:val="clear" w:color="auto" w:fill="D9E2F3" w:themeFill="accent1" w:themeFillTint="33"/>
            <w:vAlign w:val="center"/>
          </w:tcPr>
          <w:p w14:paraId="64AB08D1" w14:textId="0FAB82EE" w:rsidR="007C2CC1" w:rsidRPr="00AE0CCA" w:rsidRDefault="007C2CC1" w:rsidP="004C623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C623C" w:rsidRPr="00C374AB" w14:paraId="40B335EB" w14:textId="77777777" w:rsidTr="00F407B3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4FBD9864" w14:textId="77777777" w:rsidR="004C623C" w:rsidRPr="00760E06" w:rsidRDefault="004C623C" w:rsidP="003B69CA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3" w:type="pct"/>
            <w:gridSpan w:val="2"/>
            <w:shd w:val="clear" w:color="auto" w:fill="D9E2F3" w:themeFill="accent1" w:themeFillTint="33"/>
            <w:vAlign w:val="center"/>
          </w:tcPr>
          <w:p w14:paraId="00BCE440" w14:textId="77777777" w:rsidR="006B35AA" w:rsidRDefault="006B35AA" w:rsidP="006B35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Mock assignments</w:t>
            </w:r>
          </w:p>
          <w:p w14:paraId="698D14FC" w14:textId="77777777" w:rsidR="006B35AA" w:rsidRDefault="006B35AA" w:rsidP="006B35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Verbal feedback</w:t>
            </w:r>
          </w:p>
          <w:p w14:paraId="48FB7ABA" w14:textId="646AE80E" w:rsidR="004C623C" w:rsidRPr="00AE0CCA" w:rsidRDefault="006B35AA" w:rsidP="006B35A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Written feedback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gridSpan w:val="2"/>
            <w:shd w:val="clear" w:color="auto" w:fill="D9E2F3" w:themeFill="accent1" w:themeFillTint="33"/>
            <w:vAlign w:val="center"/>
          </w:tcPr>
          <w:p w14:paraId="005601E3" w14:textId="6D5A7EEB" w:rsidR="004C623C" w:rsidRPr="004C623C" w:rsidRDefault="004C623C" w:rsidP="003B69CA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Internal assessment of assignment</w:t>
            </w:r>
          </w:p>
          <w:p w14:paraId="7132F03C" w14:textId="18807D7D" w:rsidR="004C623C" w:rsidRPr="004C623C" w:rsidRDefault="004C623C" w:rsidP="003B69CA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External moderation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43" w:type="pct"/>
            <w:gridSpan w:val="4"/>
            <w:shd w:val="clear" w:color="auto" w:fill="D9E2F3" w:themeFill="accent1" w:themeFillTint="33"/>
            <w:vAlign w:val="center"/>
          </w:tcPr>
          <w:p w14:paraId="0E64776F" w14:textId="77777777" w:rsidR="004C623C" w:rsidRPr="004C623C" w:rsidRDefault="004C623C" w:rsidP="003B69CA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Mock exam</w:t>
            </w:r>
          </w:p>
          <w:p w14:paraId="72BDF33C" w14:textId="77777777" w:rsidR="004C623C" w:rsidRPr="004C623C" w:rsidRDefault="004C623C" w:rsidP="003B69CA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Exam questions</w:t>
            </w:r>
          </w:p>
          <w:p w14:paraId="6EA64D0D" w14:textId="6B716B9F" w:rsidR="004C623C" w:rsidRPr="004C623C" w:rsidRDefault="004C623C" w:rsidP="003B69CA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External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shd w:val="clear" w:color="auto" w:fill="D9E2F3" w:themeFill="accent1" w:themeFillTint="33"/>
            <w:vAlign w:val="center"/>
          </w:tcPr>
          <w:p w14:paraId="4A3725D5" w14:textId="4136CEBF" w:rsidR="004C623C" w:rsidRPr="00AE0CCA" w:rsidRDefault="004C623C" w:rsidP="003B69C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C3C71" w:rsidRPr="00C374AB" w14:paraId="5E20344E" w14:textId="77777777" w:rsidTr="003C3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36285489" w14:textId="77777777" w:rsidR="003C3C71" w:rsidRDefault="003C3C71" w:rsidP="003B69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624F929E" wp14:editId="21B8913D">
                  <wp:extent cx="403436" cy="403436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con&#10;&#10;Description automatically generated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FCF48" w14:textId="77777777" w:rsidR="003C3C71" w:rsidRPr="00760E06" w:rsidRDefault="003C3C71" w:rsidP="003B69CA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9"/>
            <w:shd w:val="clear" w:color="auto" w:fill="D9E2F3" w:themeFill="accent1" w:themeFillTint="33"/>
            <w:vAlign w:val="center"/>
          </w:tcPr>
          <w:p w14:paraId="4EF3EB6E" w14:textId="77777777" w:rsidR="003C3C71" w:rsidRPr="00431306" w:rsidRDefault="003C3C71" w:rsidP="003B69CA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3415C402" w14:textId="1CCB1384" w:rsidR="003C3C71" w:rsidRPr="00CD35A3" w:rsidRDefault="003C3C71" w:rsidP="007627C6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CEIAG – </w:t>
            </w:r>
            <w:r>
              <w:rPr>
                <w:rFonts w:asciiTheme="majorHAnsi" w:hAnsiTheme="majorHAnsi" w:cstheme="majorHAnsi"/>
              </w:rPr>
              <w:t>Working in a nursery</w:t>
            </w:r>
            <w:r w:rsidR="008F0FD5">
              <w:rPr>
                <w:rFonts w:asciiTheme="majorHAnsi" w:hAnsiTheme="majorHAnsi" w:cstheme="majorHAnsi"/>
              </w:rPr>
              <w:t>/early years practice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8F0FD5">
              <w:rPr>
                <w:rFonts w:asciiTheme="majorHAnsi" w:hAnsiTheme="majorHAnsi" w:cstheme="majorHAnsi"/>
              </w:rPr>
              <w:t>structuring play activities to support learning</w:t>
            </w:r>
            <w:r w:rsidR="00142405">
              <w:rPr>
                <w:rFonts w:asciiTheme="majorHAnsi" w:hAnsiTheme="majorHAnsi" w:cstheme="majorHAnsi"/>
              </w:rPr>
              <w:t>.</w:t>
            </w:r>
          </w:p>
          <w:p w14:paraId="19A13D72" w14:textId="0620397D" w:rsidR="003C3C71" w:rsidRDefault="003C3C71" w:rsidP="007627C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>SMSC –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>Care values, supporting others, c</w:t>
            </w:r>
            <w:r>
              <w:rPr>
                <w:rFonts w:asciiTheme="majorHAnsi" w:hAnsiTheme="majorHAnsi" w:cstheme="majorHAnsi"/>
                <w:bCs/>
              </w:rPr>
              <w:t>ultural capital, character education, spiritual development, learning through play</w:t>
            </w:r>
            <w:r w:rsidR="008F0FD5">
              <w:rPr>
                <w:rFonts w:asciiTheme="majorHAnsi" w:hAnsiTheme="majorHAnsi" w:cstheme="majorHAnsi"/>
                <w:bCs/>
              </w:rPr>
              <w:t>.</w:t>
            </w:r>
          </w:p>
          <w:p w14:paraId="4F8D3B39" w14:textId="4229D7CC" w:rsidR="003C3C71" w:rsidRPr="003C1455" w:rsidRDefault="003C3C71" w:rsidP="007627C6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ENRICHMENT – </w:t>
            </w:r>
            <w:r>
              <w:rPr>
                <w:rFonts w:asciiTheme="majorHAnsi" w:hAnsiTheme="majorHAnsi" w:cstheme="majorHAnsi"/>
              </w:rPr>
              <w:t xml:space="preserve">Visits to local nurseries, visiting speakers from childcare experts, links with Suffolk </w:t>
            </w:r>
            <w:r w:rsidR="008F0FD5">
              <w:rPr>
                <w:rFonts w:asciiTheme="majorHAnsi" w:hAnsiTheme="majorHAnsi" w:cstheme="majorHAnsi"/>
              </w:rPr>
              <w:t>University</w:t>
            </w:r>
            <w:r>
              <w:rPr>
                <w:rFonts w:asciiTheme="majorHAnsi" w:hAnsiTheme="majorHAnsi" w:cstheme="majorHAnsi"/>
              </w:rPr>
              <w:t xml:space="preserve">. </w:t>
            </w:r>
          </w:p>
          <w:p w14:paraId="7825D318" w14:textId="5A489110" w:rsidR="003C3C71" w:rsidRPr="00AE0CCA" w:rsidRDefault="003C3C71" w:rsidP="003B69C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BRITISH VALUES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Respect and tolerance, duty of law</w:t>
            </w:r>
            <w:r w:rsidR="008F0FD5">
              <w:rPr>
                <w:rFonts w:asciiTheme="majorHAnsi" w:hAnsiTheme="majorHAnsi" w:cstheme="majorHAnsi"/>
              </w:rPr>
              <w:t>.</w:t>
            </w:r>
          </w:p>
        </w:tc>
      </w:tr>
      <w:tr w:rsidR="00F03E7B" w:rsidRPr="00C374AB" w14:paraId="6DC33031" w14:textId="77777777" w:rsidTr="00F03E7B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FFFF00"/>
            <w:vAlign w:val="center"/>
          </w:tcPr>
          <w:p w14:paraId="5DBDB85F" w14:textId="71158F06" w:rsidR="00F03E7B" w:rsidRPr="00760E06" w:rsidRDefault="00F03E7B" w:rsidP="00F03E7B">
            <w:pPr>
              <w:jc w:val="center"/>
              <w:rPr>
                <w:noProof/>
              </w:rPr>
            </w:pPr>
            <w:r w:rsidRPr="00AD1BAF">
              <w:rPr>
                <w:rStyle w:val="normaltextrun"/>
                <w:rFonts w:ascii="Calibri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E-Safety</w:t>
            </w:r>
            <w:r w:rsidRPr="00AD1BAF">
              <w:rPr>
                <w:rStyle w:val="eop"/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9"/>
            <w:shd w:val="clear" w:color="auto" w:fill="FFFF00"/>
            <w:vAlign w:val="center"/>
          </w:tcPr>
          <w:p w14:paraId="631CCC6B" w14:textId="77777777" w:rsidR="00F03E7B" w:rsidRDefault="00F03E7B" w:rsidP="00F03E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Use of secure websites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62DB0CCB" w14:textId="77777777" w:rsidR="00F03E7B" w:rsidRDefault="00F03E7B" w:rsidP="00F03E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No use of personal details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0886C57B" w14:textId="77777777" w:rsidR="00F03E7B" w:rsidRDefault="00F03E7B" w:rsidP="00F03E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Internet used as research tool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3552AB38" w14:textId="77777777" w:rsidR="00F03E7B" w:rsidRDefault="00F03E7B" w:rsidP="00F03E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Use of computers in line with school policy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5256FA0A" w14:textId="77777777" w:rsidR="00F03E7B" w:rsidRPr="00AE0CCA" w:rsidRDefault="00F03E7B" w:rsidP="00F03E7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4838674" w14:textId="0527F9D1" w:rsidR="00270DE8" w:rsidRDefault="00270DE8" w:rsidP="00270DE8"/>
    <w:p w14:paraId="69A78364" w14:textId="5A688392" w:rsidR="00F03E7B" w:rsidRDefault="00F03E7B" w:rsidP="00270DE8"/>
    <w:p w14:paraId="768C559F" w14:textId="00BDAFF3" w:rsidR="00F03E7B" w:rsidRDefault="00F03E7B" w:rsidP="00270DE8"/>
    <w:p w14:paraId="0813A212" w14:textId="77777777" w:rsidR="00F03E7B" w:rsidRDefault="00F03E7B" w:rsidP="00270DE8"/>
    <w:p w14:paraId="14C9DC1F" w14:textId="77777777" w:rsidR="00270DE8" w:rsidRDefault="00270DE8" w:rsidP="00270DE8"/>
    <w:p w14:paraId="350B7EC7" w14:textId="77777777" w:rsidR="00A005F6" w:rsidRPr="001C7BA8" w:rsidRDefault="00A005F6" w:rsidP="00A005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C7BA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Where does ‘Respect, Inspire and Achieve’ feature in our curriculum?</w:t>
      </w:r>
      <w:r w:rsidRPr="001C7BA8">
        <w:rPr>
          <w:rStyle w:val="eop"/>
          <w:rFonts w:ascii="Calibri" w:hAnsi="Calibri" w:cs="Calibri"/>
          <w:sz w:val="22"/>
          <w:szCs w:val="22"/>
        </w:rPr>
        <w:t> </w:t>
      </w:r>
    </w:p>
    <w:p w14:paraId="150B57D6" w14:textId="77777777" w:rsidR="00A005F6" w:rsidRPr="001C7BA8" w:rsidRDefault="00A005F6" w:rsidP="00A005F6">
      <w:pPr>
        <w:textAlignment w:val="baseline"/>
        <w:rPr>
          <w:rFonts w:ascii="Segoe UI" w:hAnsi="Segoe UI" w:cs="Segoe UI"/>
          <w:color w:val="1F3763"/>
          <w:sz w:val="18"/>
          <w:szCs w:val="18"/>
          <w:lang w:eastAsia="en-GB"/>
        </w:rPr>
      </w:pPr>
      <w:r w:rsidRPr="001C7BA8">
        <w:rPr>
          <w:rFonts w:ascii="Arial" w:hAnsi="Arial" w:cs="Arial"/>
          <w:color w:val="FFAE00"/>
          <w:sz w:val="22"/>
          <w:szCs w:val="22"/>
          <w:lang w:val="en-US" w:eastAsia="en-GB"/>
        </w:rPr>
        <w:t>Vision</w:t>
      </w:r>
      <w:r w:rsidRPr="001C7BA8">
        <w:rPr>
          <w:rFonts w:ascii="Arial" w:hAnsi="Arial" w:cs="Arial"/>
          <w:color w:val="FFAE00"/>
          <w:sz w:val="22"/>
          <w:szCs w:val="22"/>
          <w:lang w:eastAsia="en-GB"/>
        </w:rPr>
        <w:t> </w:t>
      </w:r>
    </w:p>
    <w:p w14:paraId="6F35616A" w14:textId="77777777" w:rsidR="00A005F6" w:rsidRDefault="00A005F6" w:rsidP="00A005F6">
      <w:pPr>
        <w:textAlignment w:val="baseline"/>
        <w:rPr>
          <w:rFonts w:ascii="Calibri" w:hAnsi="Calibri" w:cs="Calibri"/>
          <w:color w:val="444444"/>
          <w:sz w:val="21"/>
          <w:szCs w:val="21"/>
          <w:lang w:eastAsia="en-GB"/>
        </w:rPr>
      </w:pPr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To ensure that all young people, regardless of their background, achieve their best in a safe, secure, caring yet challenging learning environment where </w:t>
      </w:r>
      <w:proofErr w:type="gramStart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>all of</w:t>
      </w:r>
      <w:proofErr w:type="gramEnd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 our students are inspired to respect others.  To develop their talents and to raise their aspirations to leave school with the academic, social and practical skills to lead a successful, happy and responsible life.</w:t>
      </w:r>
      <w:r w:rsidRPr="001C7BA8">
        <w:rPr>
          <w:rFonts w:ascii="Calibri" w:hAnsi="Calibri" w:cs="Calibri"/>
          <w:color w:val="444444"/>
          <w:sz w:val="21"/>
          <w:szCs w:val="21"/>
          <w:lang w:eastAsia="en-GB"/>
        </w:rPr>
        <w:t> </w:t>
      </w:r>
    </w:p>
    <w:p w14:paraId="6DE713F2" w14:textId="77777777" w:rsidR="00A005F6" w:rsidRPr="001C7BA8" w:rsidRDefault="00A005F6" w:rsidP="00A005F6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tbl>
      <w:tblPr>
        <w:tblW w:w="14135" w:type="dxa"/>
        <w:tblInd w:w="-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3048"/>
      </w:tblGrid>
      <w:tr w:rsidR="00F346A4" w:rsidRPr="00AA6908" w14:paraId="5953F7CB" w14:textId="77777777" w:rsidTr="00142405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42335" w14:textId="77777777" w:rsidR="00F346A4" w:rsidRPr="00142405" w:rsidRDefault="00F346A4" w:rsidP="003B69CA">
            <w:pPr>
              <w:textAlignment w:val="baseline"/>
              <w:rPr>
                <w:b/>
                <w:bCs/>
                <w:lang w:eastAsia="en-GB"/>
              </w:rPr>
            </w:pPr>
            <w:r w:rsidRPr="00142405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RESPECT</w:t>
            </w:r>
            <w:r w:rsidRPr="00142405">
              <w:rPr>
                <w:rFonts w:ascii="Calibri" w:hAnsi="Calibri" w:cs="Calibri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FA75FC6" w14:textId="77777777" w:rsidR="00F346A4" w:rsidRPr="00142405" w:rsidRDefault="00F346A4" w:rsidP="003B69CA">
            <w:pPr>
              <w:textAlignment w:val="baseline"/>
              <w:rPr>
                <w:b/>
                <w:bCs/>
                <w:lang w:eastAsia="en-GB"/>
              </w:rPr>
            </w:pPr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Politeness, </w:t>
            </w:r>
            <w:proofErr w:type="spellStart"/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honour</w:t>
            </w:r>
            <w:proofErr w:type="spellEnd"/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, and care shown towards someone or something that is considered important (OED)</w:t>
            </w:r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  <w:p w14:paraId="33121F9F" w14:textId="77777777" w:rsidR="00F346A4" w:rsidRPr="00142405" w:rsidRDefault="00F346A4" w:rsidP="003B69CA">
            <w:pPr>
              <w:textAlignment w:val="baseline"/>
              <w:rPr>
                <w:b/>
                <w:bCs/>
                <w:lang w:eastAsia="en-GB"/>
              </w:rPr>
            </w:pPr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Consider: Respect for other people, beliefs, culture, </w:t>
            </w:r>
            <w:proofErr w:type="spellStart"/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behaviour</w:t>
            </w:r>
            <w:proofErr w:type="spellEnd"/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, learning, the environment…</w:t>
            </w:r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F346A4" w:rsidRPr="00AA6908" w14:paraId="5F623B95" w14:textId="77777777" w:rsidTr="00142405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59428A" w14:textId="77777777" w:rsidR="00F346A4" w:rsidRPr="003620D7" w:rsidRDefault="00F346A4" w:rsidP="003B69CA">
            <w:pPr>
              <w:textAlignment w:val="baseline"/>
              <w:rPr>
                <w:highlight w:val="yellow"/>
                <w:lang w:eastAsia="en-GB"/>
              </w:rPr>
            </w:pPr>
            <w:r w:rsidRPr="00142405">
              <w:rPr>
                <w:rFonts w:ascii="Calibri" w:hAnsi="Calibri" w:cs="Calibri"/>
                <w:sz w:val="22"/>
                <w:szCs w:val="22"/>
                <w:lang w:val="en-US" w:eastAsia="en-GB"/>
              </w:rPr>
              <w:t>10</w:t>
            </w:r>
            <w:r w:rsidRPr="0014240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AD47" w14:textId="778C6A94" w:rsidR="00F346A4" w:rsidRPr="00142405" w:rsidRDefault="00142405" w:rsidP="003B69C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4240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Working with heath care professional</w:t>
            </w:r>
            <w:r w:rsidR="00C905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</w:t>
            </w:r>
            <w:r w:rsidRPr="0014240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forming professional working relationships. </w:t>
            </w:r>
          </w:p>
        </w:tc>
      </w:tr>
      <w:tr w:rsidR="00F346A4" w:rsidRPr="00AA6908" w14:paraId="5FB06390" w14:textId="77777777" w:rsidTr="00142405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694A536" w14:textId="77777777" w:rsidR="00F346A4" w:rsidRPr="009E77D5" w:rsidRDefault="00F346A4" w:rsidP="003B69CA">
            <w:pPr>
              <w:textAlignment w:val="baseline"/>
              <w:rPr>
                <w:lang w:eastAsia="en-GB"/>
              </w:rPr>
            </w:pPr>
            <w:r w:rsidRPr="009E77D5">
              <w:rPr>
                <w:rFonts w:ascii="Calibri" w:hAnsi="Calibri" w:cs="Calibri"/>
                <w:sz w:val="22"/>
                <w:szCs w:val="22"/>
                <w:lang w:val="en-US" w:eastAsia="en-GB"/>
              </w:rPr>
              <w:t>11</w:t>
            </w:r>
            <w:r w:rsidRPr="009E77D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D98B" w14:textId="762EC175" w:rsidR="00F346A4" w:rsidRPr="00142405" w:rsidRDefault="00142405" w:rsidP="003B69C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4240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Caring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for and supporting children learn.</w:t>
            </w:r>
          </w:p>
        </w:tc>
      </w:tr>
      <w:tr w:rsidR="00256378" w:rsidRPr="00AA6908" w14:paraId="522D79AA" w14:textId="77777777" w:rsidTr="00142405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92E4D" w14:textId="77777777" w:rsidR="00256378" w:rsidRPr="00142405" w:rsidRDefault="00256378" w:rsidP="003B69CA">
            <w:pPr>
              <w:textAlignment w:val="baseline"/>
              <w:rPr>
                <w:b/>
                <w:bCs/>
                <w:lang w:eastAsia="en-GB"/>
              </w:rPr>
            </w:pPr>
            <w:r w:rsidRPr="00142405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INSPIRE</w:t>
            </w:r>
            <w:r w:rsidRPr="00142405">
              <w:rPr>
                <w:rFonts w:ascii="Calibri" w:hAnsi="Calibri" w:cs="Calibri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20D26" w14:textId="77777777" w:rsidR="00256378" w:rsidRPr="00142405" w:rsidRDefault="00256378" w:rsidP="003B69CA">
            <w:pPr>
              <w:textAlignment w:val="baseline"/>
              <w:rPr>
                <w:b/>
                <w:bCs/>
                <w:lang w:eastAsia="en-GB"/>
              </w:rPr>
            </w:pPr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The desire, confidence, or enthusiasm to do something well (OED)</w:t>
            </w:r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  <w:p w14:paraId="126F4818" w14:textId="77777777" w:rsidR="00256378" w:rsidRPr="00142405" w:rsidRDefault="00256378" w:rsidP="003B69CA">
            <w:pPr>
              <w:textAlignment w:val="baseline"/>
              <w:rPr>
                <w:b/>
                <w:bCs/>
                <w:lang w:eastAsia="en-GB"/>
              </w:rPr>
            </w:pPr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Consider: Aspirations, future learning/ study, how to improve, target setting to achieve goals…</w:t>
            </w:r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256378" w:rsidRPr="00AA6908" w14:paraId="343FE898" w14:textId="77777777" w:rsidTr="00142405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221FB" w14:textId="77777777" w:rsidR="00256378" w:rsidRPr="00142405" w:rsidRDefault="00256378" w:rsidP="003B69CA">
            <w:pPr>
              <w:textAlignment w:val="baseline"/>
              <w:rPr>
                <w:lang w:eastAsia="en-GB"/>
              </w:rPr>
            </w:pPr>
            <w:r w:rsidRPr="00142405">
              <w:rPr>
                <w:rFonts w:ascii="Calibri" w:hAnsi="Calibri" w:cs="Calibri"/>
                <w:sz w:val="22"/>
                <w:szCs w:val="22"/>
                <w:lang w:val="en-US" w:eastAsia="en-GB"/>
              </w:rPr>
              <w:t>10</w:t>
            </w:r>
            <w:r w:rsidRPr="0014240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E6184" w14:textId="77CF967C" w:rsidR="00142405" w:rsidRPr="00142405" w:rsidRDefault="00256378" w:rsidP="00142405">
            <w:pPr>
              <w:textAlignment w:val="baseline"/>
              <w:rPr>
                <w:lang w:eastAsia="en-GB"/>
              </w:rPr>
            </w:pPr>
            <w:r w:rsidRPr="00142405">
              <w:rPr>
                <w:rFonts w:ascii="Calibri" w:hAnsi="Calibri" w:cs="Calibri"/>
                <w:sz w:val="22"/>
                <w:szCs w:val="22"/>
                <w:lang w:val="en-US" w:eastAsia="en-GB"/>
              </w:rPr>
              <w:t> </w:t>
            </w:r>
            <w:r w:rsidR="008C54D0">
              <w:rPr>
                <w:rFonts w:ascii="Calibri" w:hAnsi="Calibri" w:cs="Calibri"/>
                <w:sz w:val="22"/>
                <w:szCs w:val="22"/>
                <w:lang w:val="en-US" w:eastAsia="en-GB"/>
              </w:rPr>
              <w:t>Working practices in the childcare sector in a range of role</w:t>
            </w:r>
            <w:r w:rsidR="003D4579">
              <w:rPr>
                <w:rFonts w:ascii="Calibri" w:hAnsi="Calibri" w:cs="Calibri"/>
                <w:sz w:val="22"/>
                <w:szCs w:val="22"/>
                <w:lang w:val="en-US" w:eastAsia="en-GB"/>
              </w:rPr>
              <w:t>s</w:t>
            </w:r>
            <w:r w:rsidR="008C54D0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including health visitor, midwife, support workers</w:t>
            </w:r>
            <w:r w:rsid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>.</w:t>
            </w:r>
          </w:p>
          <w:p w14:paraId="6F1FDBCB" w14:textId="3A2E55D8" w:rsidR="00256378" w:rsidRPr="00142405" w:rsidRDefault="00256378" w:rsidP="003B69CA">
            <w:pPr>
              <w:textAlignment w:val="baseline"/>
              <w:rPr>
                <w:lang w:eastAsia="en-GB"/>
              </w:rPr>
            </w:pPr>
          </w:p>
        </w:tc>
      </w:tr>
      <w:tr w:rsidR="00256378" w:rsidRPr="00AA6908" w14:paraId="0C2799F3" w14:textId="77777777" w:rsidTr="00142405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ACDC9" w14:textId="77777777" w:rsidR="00256378" w:rsidRPr="00142405" w:rsidRDefault="00256378" w:rsidP="003B69CA">
            <w:pPr>
              <w:textAlignment w:val="baseline"/>
              <w:rPr>
                <w:lang w:eastAsia="en-GB"/>
              </w:rPr>
            </w:pPr>
            <w:r w:rsidRPr="00142405">
              <w:rPr>
                <w:rFonts w:ascii="Calibri" w:hAnsi="Calibri" w:cs="Calibri"/>
                <w:sz w:val="22"/>
                <w:szCs w:val="22"/>
                <w:lang w:val="en-US" w:eastAsia="en-GB"/>
              </w:rPr>
              <w:t>11</w:t>
            </w:r>
            <w:r w:rsidRPr="0014240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56533" w14:textId="60E19777" w:rsidR="00256378" w:rsidRPr="00142405" w:rsidRDefault="00256378" w:rsidP="003B69CA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2405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Future careers </w:t>
            </w:r>
            <w:r w:rsidR="00142405">
              <w:rPr>
                <w:rFonts w:ascii="Calibri" w:hAnsi="Calibri" w:cs="Calibri"/>
                <w:sz w:val="22"/>
                <w:szCs w:val="22"/>
                <w:lang w:val="en-US" w:eastAsia="en-GB"/>
              </w:rPr>
              <w:t>in the childcare sector.</w:t>
            </w:r>
          </w:p>
          <w:p w14:paraId="406F62A1" w14:textId="2C0E755E" w:rsidR="00256378" w:rsidRPr="00142405" w:rsidRDefault="00256378" w:rsidP="003B69CA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2405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Working practices and processes of professionals in the </w:t>
            </w:r>
            <w:r w:rsidR="00142405">
              <w:rPr>
                <w:rFonts w:ascii="Calibri" w:hAnsi="Calibri" w:cs="Calibri"/>
                <w:sz w:val="22"/>
                <w:szCs w:val="22"/>
                <w:lang w:val="en-US" w:eastAsia="en-GB"/>
              </w:rPr>
              <w:t>childcare sector.</w:t>
            </w:r>
          </w:p>
        </w:tc>
      </w:tr>
      <w:tr w:rsidR="003620D7" w:rsidRPr="00AA6908" w14:paraId="279AFF3D" w14:textId="77777777" w:rsidTr="00142405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6B2E" w14:textId="77777777" w:rsidR="003620D7" w:rsidRPr="00142405" w:rsidRDefault="003620D7" w:rsidP="003B69CA">
            <w:pPr>
              <w:textAlignment w:val="baseline"/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</w:pPr>
            <w:r w:rsidRPr="00142405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ACHIEVE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2A74A" w14:textId="77777777" w:rsidR="003620D7" w:rsidRPr="00142405" w:rsidRDefault="003620D7" w:rsidP="003B69CA">
            <w:pPr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</w:pPr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To succeed in reaching a particular goal, status, or standard, especially by </w:t>
            </w:r>
            <w:proofErr w:type="gramStart"/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making an effort</w:t>
            </w:r>
            <w:proofErr w:type="gramEnd"/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 for a long time </w:t>
            </w:r>
          </w:p>
          <w:p w14:paraId="4008AB28" w14:textId="77777777" w:rsidR="003620D7" w:rsidRPr="00142405" w:rsidRDefault="003620D7" w:rsidP="003B69CA">
            <w:pPr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</w:pPr>
            <w:r w:rsidRPr="00142405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Consider: Achieve targets, improving work/ grades… </w:t>
            </w:r>
          </w:p>
        </w:tc>
      </w:tr>
      <w:tr w:rsidR="003620D7" w:rsidRPr="00AA6908" w14:paraId="1F21A1CB" w14:textId="77777777" w:rsidTr="00142405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E4D41" w14:textId="77777777" w:rsidR="003620D7" w:rsidRPr="0014650A" w:rsidRDefault="003620D7" w:rsidP="003B69CA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>10 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6A98E" w14:textId="06FA25E7" w:rsidR="003620D7" w:rsidRPr="0014650A" w:rsidRDefault="0014650A" w:rsidP="003B69CA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Personal reflection and building on resilience and perseverance to achieve higher standards. </w:t>
            </w:r>
          </w:p>
          <w:p w14:paraId="49D22D53" w14:textId="45D3416F" w:rsidR="003620D7" w:rsidRPr="0014650A" w:rsidRDefault="003620D7" w:rsidP="003B69CA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Use of exemplar </w:t>
            </w:r>
            <w:r w:rsid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>work and modelled examples to</w:t>
            </w: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achieve a standard aligned with this.  </w:t>
            </w:r>
          </w:p>
        </w:tc>
      </w:tr>
      <w:tr w:rsidR="003620D7" w:rsidRPr="00AA6908" w14:paraId="58111C29" w14:textId="77777777" w:rsidTr="00142405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8BE03" w14:textId="77777777" w:rsidR="003620D7" w:rsidRPr="0014650A" w:rsidRDefault="003620D7" w:rsidP="003B69CA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>11 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D262F" w14:textId="2FDDE6EF" w:rsidR="0014650A" w:rsidRDefault="003620D7" w:rsidP="003B69CA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> </w:t>
            </w:r>
            <w:r w:rsidR="0014650A"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>Independently</w:t>
            </w: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working to achieve the goals as set out in the brief provided by </w:t>
            </w:r>
            <w:r w:rsidR="0014650A"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>the exam</w:t>
            </w: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board. </w:t>
            </w:r>
          </w:p>
          <w:p w14:paraId="49AE6E0D" w14:textId="5084D17E" w:rsidR="003620D7" w:rsidRPr="0014650A" w:rsidRDefault="003620D7" w:rsidP="003B69CA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Improvement and refinement of </w:t>
            </w:r>
            <w:r w:rsid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worked answers in an exam. </w:t>
            </w:r>
          </w:p>
          <w:p w14:paraId="43C0D751" w14:textId="3B54FC87" w:rsidR="003620D7" w:rsidRPr="0014650A" w:rsidRDefault="003620D7" w:rsidP="003B69CA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Target setting to improve </w:t>
            </w:r>
            <w:r w:rsid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>written work</w:t>
            </w: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>. </w:t>
            </w:r>
          </w:p>
        </w:tc>
      </w:tr>
    </w:tbl>
    <w:p w14:paraId="1F0E4BC8" w14:textId="77777777" w:rsidR="00BF2B1B" w:rsidRDefault="00BF2B1B" w:rsidP="00F346A4"/>
    <w:sectPr w:rsidR="00BF2B1B" w:rsidSect="001915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FFD6" w14:textId="77777777" w:rsidR="00CE53DC" w:rsidRDefault="00CE53DC" w:rsidP="00270DE8">
      <w:r>
        <w:separator/>
      </w:r>
    </w:p>
  </w:endnote>
  <w:endnote w:type="continuationSeparator" w:id="0">
    <w:p w14:paraId="03FD4296" w14:textId="77777777" w:rsidR="00CE53DC" w:rsidRDefault="00CE53DC" w:rsidP="0027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4D50" w14:textId="77777777" w:rsidR="003F4794" w:rsidRDefault="003F4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B9CB" w14:textId="77777777" w:rsidR="0018771F" w:rsidRPr="00DD359D" w:rsidRDefault="0051270B" w:rsidP="00E42807">
    <w:pPr>
      <w:pStyle w:val="Footer"/>
      <w:rPr>
        <w:rFonts w:asciiTheme="minorHAnsi" w:hAnsiTheme="minorHAnsi" w:cstheme="minorHAnsi"/>
        <w:b/>
        <w:bCs/>
        <w:i/>
        <w:iCs/>
        <w:sz w:val="36"/>
        <w:szCs w:val="36"/>
      </w:rPr>
    </w:pPr>
    <w:r w:rsidRPr="002878F6">
      <w:rPr>
        <w:rFonts w:asciiTheme="majorHAnsi" w:hAnsiTheme="majorHAnsi" w:cstheme="majorHAnsi"/>
        <w:b/>
        <w:bCs/>
        <w:i/>
        <w:iCs/>
      </w:rPr>
      <w:t>Key:</w:t>
    </w:r>
    <w:r>
      <w:rPr>
        <w:rFonts w:asciiTheme="majorHAnsi" w:hAnsiTheme="majorHAnsi" w:cstheme="majorHAnsi"/>
        <w:b/>
        <w:bCs/>
        <w:i/>
        <w:iCs/>
        <w:color w:val="7030A0"/>
      </w:rPr>
      <w:t xml:space="preserve"> </w:t>
    </w:r>
    <w:r w:rsidRPr="00DD359D">
      <w:rPr>
        <w:rFonts w:asciiTheme="minorHAnsi" w:hAnsiTheme="minorHAnsi" w:cstheme="minorHAnsi"/>
        <w:b/>
        <w:bCs/>
        <w:color w:val="FF0000"/>
        <w:sz w:val="36"/>
        <w:szCs w:val="36"/>
      </w:rPr>
      <w:t>CEIAG</w:t>
    </w:r>
    <w:r w:rsidRPr="00DD359D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Pr="00201576">
      <w:rPr>
        <w:rFonts w:asciiTheme="minorHAnsi" w:hAnsiTheme="minorHAnsi" w:cstheme="minorHAnsi"/>
        <w:b/>
        <w:bCs/>
        <w:color w:val="00B050"/>
        <w:sz w:val="36"/>
        <w:szCs w:val="36"/>
      </w:rPr>
      <w:t>SMSC</w:t>
    </w:r>
    <w:r w:rsidRPr="00DD359D">
      <w:rPr>
        <w:rFonts w:asciiTheme="minorHAnsi" w:hAnsiTheme="minorHAnsi" w:cstheme="minorHAnsi"/>
        <w:b/>
        <w:bCs/>
        <w:color w:val="00B050"/>
        <w:sz w:val="36"/>
        <w:szCs w:val="36"/>
      </w:rPr>
      <w:t xml:space="preserve"> </w:t>
    </w:r>
    <w:r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Enrichment</w:t>
    </w:r>
    <w:r>
      <w:rPr>
        <w:rFonts w:asciiTheme="minorHAnsi" w:hAnsiTheme="minorHAnsi" w:cstheme="minorHAnsi"/>
        <w:b/>
        <w:bCs/>
        <w:color w:val="7030A0"/>
        <w:sz w:val="36"/>
        <w:szCs w:val="36"/>
      </w:rPr>
      <w:t xml:space="preserve"> </w:t>
    </w:r>
    <w:r w:rsidRPr="000A44B5">
      <w:rPr>
        <w:rFonts w:asciiTheme="minorHAnsi" w:hAnsiTheme="minorHAnsi" w:cstheme="minorHAnsi"/>
        <w:b/>
        <w:bCs/>
        <w:color w:val="0070C0"/>
        <w:sz w:val="36"/>
        <w:szCs w:val="36"/>
      </w:rPr>
      <w:t>British Values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8E21" w14:textId="77777777" w:rsidR="003F4794" w:rsidRDefault="003F4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5012" w14:textId="77777777" w:rsidR="00CE53DC" w:rsidRDefault="00CE53DC" w:rsidP="00270DE8">
      <w:r>
        <w:separator/>
      </w:r>
    </w:p>
  </w:footnote>
  <w:footnote w:type="continuationSeparator" w:id="0">
    <w:p w14:paraId="726594FD" w14:textId="77777777" w:rsidR="00CE53DC" w:rsidRDefault="00CE53DC" w:rsidP="0027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FD4B" w14:textId="77777777" w:rsidR="003F4794" w:rsidRDefault="003F4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A2D5" w14:textId="2CF13AA2" w:rsidR="0018771F" w:rsidRPr="00B80B30" w:rsidRDefault="0051270B" w:rsidP="00972B95">
    <w:pPr>
      <w:pStyle w:val="Header"/>
      <w:rPr>
        <w:rFonts w:asciiTheme="minorHAnsi" w:hAnsiTheme="minorHAnsi" w:cstheme="minorHAnsi"/>
        <w:b/>
        <w:sz w:val="48"/>
        <w:szCs w:val="22"/>
      </w:rPr>
    </w:pPr>
    <w:r w:rsidRPr="00AA6355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7D8BC733" wp14:editId="7665EA68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71F">
      <w:rPr>
        <w:rFonts w:asciiTheme="minorHAnsi" w:hAnsiTheme="minorHAnsi" w:cstheme="minorHAnsi"/>
        <w:b/>
        <w:sz w:val="48"/>
        <w:szCs w:val="22"/>
      </w:rPr>
      <w:t xml:space="preserve">KS4 </w:t>
    </w:r>
    <w:r>
      <w:rPr>
        <w:rFonts w:asciiTheme="minorHAnsi" w:hAnsiTheme="minorHAnsi" w:cstheme="minorHAnsi"/>
        <w:b/>
        <w:sz w:val="48"/>
        <w:szCs w:val="22"/>
      </w:rPr>
      <w:t xml:space="preserve">Child Development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9A7F" w14:textId="77777777" w:rsidR="003F4794" w:rsidRDefault="003F4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E8"/>
    <w:rsid w:val="00142405"/>
    <w:rsid w:val="0014650A"/>
    <w:rsid w:val="0018771F"/>
    <w:rsid w:val="0021624D"/>
    <w:rsid w:val="00256378"/>
    <w:rsid w:val="00270DE8"/>
    <w:rsid w:val="00340850"/>
    <w:rsid w:val="003620D7"/>
    <w:rsid w:val="003771F7"/>
    <w:rsid w:val="003C3C71"/>
    <w:rsid w:val="003D4579"/>
    <w:rsid w:val="003F4794"/>
    <w:rsid w:val="00497347"/>
    <w:rsid w:val="004B0CE3"/>
    <w:rsid w:val="004C623C"/>
    <w:rsid w:val="0051270B"/>
    <w:rsid w:val="006872B3"/>
    <w:rsid w:val="006B35AA"/>
    <w:rsid w:val="007627C6"/>
    <w:rsid w:val="007C2CC1"/>
    <w:rsid w:val="0083533B"/>
    <w:rsid w:val="008C54D0"/>
    <w:rsid w:val="008F0FD5"/>
    <w:rsid w:val="00A005F6"/>
    <w:rsid w:val="00BF2B1B"/>
    <w:rsid w:val="00C90550"/>
    <w:rsid w:val="00CA120B"/>
    <w:rsid w:val="00CE53DC"/>
    <w:rsid w:val="00D0266B"/>
    <w:rsid w:val="00E15CF8"/>
    <w:rsid w:val="00F03E7B"/>
    <w:rsid w:val="00F346A4"/>
    <w:rsid w:val="00F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7788"/>
  <w15:chartTrackingRefBased/>
  <w15:docId w15:val="{0C964EBF-6D74-4F3E-A3B3-E6FCB63D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 Cen MT" w:eastAsiaTheme="minorHAnsi" w:hAnsi="Tw Cen MT" w:cstheme="minorBidi"/>
        <w:sz w:val="24"/>
        <w:szCs w:val="24"/>
        <w:lang w:val="en-GB" w:eastAsia="en-US" w:bidi="ar-SA"/>
      </w:rPr>
    </w:rPrDefault>
    <w:pPrDefault>
      <w:pPr>
        <w:spacing w:line="259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E8"/>
    <w:pPr>
      <w:spacing w:line="240" w:lineRule="auto"/>
      <w:ind w:left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0D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0D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70D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70DE8"/>
    <w:rPr>
      <w:rFonts w:ascii="Times New Roman" w:eastAsia="Times New Roman" w:hAnsi="Times New Roman" w:cs="Times New Roman"/>
    </w:rPr>
  </w:style>
  <w:style w:type="table" w:styleId="PlainTable2">
    <w:name w:val="Plain Table 2"/>
    <w:basedOn w:val="TableNormal"/>
    <w:uiPriority w:val="42"/>
    <w:rsid w:val="00270DE8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A005F6"/>
  </w:style>
  <w:style w:type="character" w:customStyle="1" w:styleId="eop">
    <w:name w:val="eop"/>
    <w:basedOn w:val="DefaultParagraphFont"/>
    <w:rsid w:val="00A005F6"/>
  </w:style>
  <w:style w:type="paragraph" w:customStyle="1" w:styleId="paragraph">
    <w:name w:val="paragraph"/>
    <w:basedOn w:val="Normal"/>
    <w:rsid w:val="00A005F6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78B9A796D8B44AE1B416512131B8B" ma:contentTypeVersion="16" ma:contentTypeDescription="Create a new document." ma:contentTypeScope="" ma:versionID="5560c5d137facb6d74cda40050ab168d">
  <xsd:schema xmlns:xsd="http://www.w3.org/2001/XMLSchema" xmlns:xs="http://www.w3.org/2001/XMLSchema" xmlns:p="http://schemas.microsoft.com/office/2006/metadata/properties" xmlns:ns3="4e24130d-19c7-4d4e-b4ac-994506304a16" xmlns:ns4="27dfb9f5-7d1c-45a4-8afa-a61f12f8bb0c" targetNamespace="http://schemas.microsoft.com/office/2006/metadata/properties" ma:root="true" ma:fieldsID="0d592f8efb4f26ee4f39c5babd39fc3d" ns3:_="" ns4:_="">
    <xsd:import namespace="4e24130d-19c7-4d4e-b4ac-994506304a16"/>
    <xsd:import namespace="27dfb9f5-7d1c-45a4-8afa-a61f12f8bb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4130d-19c7-4d4e-b4ac-994506304a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fb9f5-7d1c-45a4-8afa-a61f12f8b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D12D2-B615-4C35-A8AF-D67523E90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4130d-19c7-4d4e-b4ac-994506304a16"/>
    <ds:schemaRef ds:uri="27dfb9f5-7d1c-45a4-8afa-a61f12f8b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0D289-CD06-492C-A877-A56367C6C7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E143E-AD40-4D7B-A863-768AB97FF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Beacham</dc:creator>
  <cp:keywords/>
  <dc:description/>
  <cp:lastModifiedBy>Terri Beacham</cp:lastModifiedBy>
  <cp:revision>22</cp:revision>
  <dcterms:created xsi:type="dcterms:W3CDTF">2022-05-25T15:54:00Z</dcterms:created>
  <dcterms:modified xsi:type="dcterms:W3CDTF">2025-07-09T10:09:00Z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0x01010059B78B9A796D8B44AE1B416512131B8B</vt:lpwstr>
  </property>
</Properties>
</file>