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6089" w14:textId="77777777" w:rsidR="008D5213" w:rsidRDefault="008D5213" w:rsidP="008D5213">
      <w:pPr>
        <w:rPr>
          <w:rFonts w:asciiTheme="minorHAnsi" w:hAnsiTheme="minorHAnsi" w:cstheme="minorHAnsi"/>
        </w:rPr>
      </w:pPr>
    </w:p>
    <w:p w14:paraId="0BA3DB8F" w14:textId="77777777" w:rsidR="00CF000A" w:rsidRPr="00972B95" w:rsidRDefault="00CF000A" w:rsidP="008D5213">
      <w:pPr>
        <w:rPr>
          <w:rFonts w:asciiTheme="minorHAnsi" w:hAnsiTheme="minorHAnsi" w:cstheme="minorHAnsi"/>
        </w:rPr>
      </w:pPr>
    </w:p>
    <w:tbl>
      <w:tblPr>
        <w:tblStyle w:val="PlainTable2"/>
        <w:tblpPr w:leftFromText="180" w:rightFromText="180" w:vertAnchor="text" w:horzAnchor="margin" w:tblpXSpec="center" w:tblpY="-40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189"/>
        <w:gridCol w:w="29"/>
        <w:gridCol w:w="2237"/>
        <w:gridCol w:w="2113"/>
        <w:gridCol w:w="15"/>
        <w:gridCol w:w="2225"/>
        <w:gridCol w:w="2169"/>
        <w:gridCol w:w="100"/>
        <w:gridCol w:w="2204"/>
      </w:tblGrid>
      <w:tr w:rsidR="008D5213" w:rsidRPr="00D941F1" w14:paraId="55F67A71" w14:textId="77777777" w:rsidTr="0083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C9C9C9" w:themeFill="accent3" w:themeFillTint="99"/>
            <w:vAlign w:val="center"/>
          </w:tcPr>
          <w:p w14:paraId="75DC0F7B" w14:textId="77777777" w:rsidR="008D5213" w:rsidRPr="00300FBB" w:rsidRDefault="008D5213" w:rsidP="00ED7C9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noProof/>
                <w:sz w:val="28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05E47F3" wp14:editId="4BFB05FA">
                  <wp:simplePos x="0" y="0"/>
                  <wp:positionH relativeFrom="leftMargin">
                    <wp:posOffset>-239395</wp:posOffset>
                  </wp:positionH>
                  <wp:positionV relativeFrom="paragraph">
                    <wp:posOffset>227330</wp:posOffset>
                  </wp:positionV>
                  <wp:extent cx="317500" cy="346710"/>
                  <wp:effectExtent l="38100" t="57150" r="6350" b="53340"/>
                  <wp:wrapNone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43096">
                            <a:off x="0" y="0"/>
                            <a:ext cx="3175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" w:type="pct"/>
            <w:shd w:val="clear" w:color="auto" w:fill="C9C9C9" w:themeFill="accent3" w:themeFillTint="99"/>
            <w:vAlign w:val="center"/>
          </w:tcPr>
          <w:p w14:paraId="164AC5DE" w14:textId="77777777" w:rsidR="008D5213" w:rsidRPr="00300FBB" w:rsidRDefault="008D5213" w:rsidP="00ED7C9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gridSpan w:val="2"/>
            <w:shd w:val="clear" w:color="auto" w:fill="C9C9C9" w:themeFill="accent3" w:themeFillTint="99"/>
            <w:vAlign w:val="center"/>
          </w:tcPr>
          <w:p w14:paraId="4D958394" w14:textId="77777777" w:rsidR="008D5213" w:rsidRPr="00300FBB" w:rsidRDefault="008D5213" w:rsidP="00ED7C9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5" w:type="pct"/>
            <w:shd w:val="clear" w:color="auto" w:fill="C9C9C9" w:themeFill="accent3" w:themeFillTint="99"/>
            <w:vAlign w:val="center"/>
          </w:tcPr>
          <w:p w14:paraId="7BE5ABDD" w14:textId="77777777" w:rsidR="008D5213" w:rsidRPr="00300FBB" w:rsidRDefault="008D5213" w:rsidP="00ED7C9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  <w:gridSpan w:val="2"/>
            <w:shd w:val="clear" w:color="auto" w:fill="C9C9C9" w:themeFill="accent3" w:themeFillTint="99"/>
            <w:vAlign w:val="center"/>
          </w:tcPr>
          <w:p w14:paraId="34FF3B17" w14:textId="77777777" w:rsidR="008D5213" w:rsidRPr="00300FBB" w:rsidRDefault="008D5213" w:rsidP="00ED7C9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4" w:type="pct"/>
            <w:shd w:val="clear" w:color="auto" w:fill="C9C9C9" w:themeFill="accent3" w:themeFillTint="99"/>
            <w:vAlign w:val="center"/>
          </w:tcPr>
          <w:p w14:paraId="3E8ABA4C" w14:textId="77777777" w:rsidR="008D5213" w:rsidRPr="00300FBB" w:rsidRDefault="008D5213" w:rsidP="00ED7C9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gridSpan w:val="2"/>
            <w:shd w:val="clear" w:color="auto" w:fill="C9C9C9" w:themeFill="accent3" w:themeFillTint="99"/>
            <w:vAlign w:val="center"/>
          </w:tcPr>
          <w:p w14:paraId="6B19C063" w14:textId="77777777" w:rsidR="008D5213" w:rsidRPr="00300FBB" w:rsidRDefault="008D5213" w:rsidP="00ED7C95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2</w:t>
            </w:r>
          </w:p>
        </w:tc>
      </w:tr>
      <w:tr w:rsidR="008301C8" w:rsidRPr="00C374AB" w14:paraId="67FAB2CC" w14:textId="77777777" w:rsidTr="00CF000A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vMerge w:val="restart"/>
            <w:shd w:val="clear" w:color="auto" w:fill="D9E2F3" w:themeFill="accent1" w:themeFillTint="33"/>
            <w:vAlign w:val="center"/>
          </w:tcPr>
          <w:p w14:paraId="6BC43137" w14:textId="77777777" w:rsidR="008301C8" w:rsidRPr="00760E06" w:rsidRDefault="008301C8" w:rsidP="00ED7C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  <w:r>
              <w:rPr>
                <w:rFonts w:asciiTheme="minorHAnsi" w:hAnsiTheme="minorHAnsi" w:cstheme="minorHAnsi"/>
                <w:b/>
                <w:sz w:val="72"/>
                <w:szCs w:val="52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" w:type="pct"/>
            <w:shd w:val="clear" w:color="auto" w:fill="D9E2F3" w:themeFill="accent1" w:themeFillTint="33"/>
            <w:vAlign w:val="center"/>
          </w:tcPr>
          <w:p w14:paraId="1366CC4C" w14:textId="5A53C6E6" w:rsidR="008301C8" w:rsidRPr="00955507" w:rsidRDefault="008301C8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Practitioners and stimulus response workshops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2" w:type="pct"/>
            <w:gridSpan w:val="3"/>
            <w:shd w:val="clear" w:color="auto" w:fill="D9E2F3" w:themeFill="accent1" w:themeFillTint="33"/>
            <w:vAlign w:val="center"/>
          </w:tcPr>
          <w:p w14:paraId="60A107F6" w14:textId="719F01BC" w:rsidR="008301C8" w:rsidRPr="00955507" w:rsidRDefault="008301C8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Mock component 1: Devising Theatre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2" w:type="pct"/>
            <w:gridSpan w:val="3"/>
            <w:shd w:val="clear" w:color="auto" w:fill="D9E2F3" w:themeFill="accent1" w:themeFillTint="33"/>
            <w:vAlign w:val="center"/>
          </w:tcPr>
          <w:p w14:paraId="3E5CE4CC" w14:textId="0DEA6032" w:rsidR="008301C8" w:rsidRPr="00CD35A3" w:rsidRDefault="008301C8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Component 1: Devising Theatre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gridSpan w:val="2"/>
            <w:shd w:val="clear" w:color="auto" w:fill="D9E2F3" w:themeFill="accent1" w:themeFillTint="33"/>
            <w:vAlign w:val="center"/>
          </w:tcPr>
          <w:p w14:paraId="56C53E7A" w14:textId="4AF44AC2" w:rsidR="008301C8" w:rsidRPr="00CD35A3" w:rsidRDefault="008301C8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Exploration of script </w:t>
            </w:r>
          </w:p>
        </w:tc>
      </w:tr>
      <w:tr w:rsidR="008301C8" w:rsidRPr="00C374AB" w14:paraId="17035E05" w14:textId="77777777" w:rsidTr="0083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vMerge/>
            <w:shd w:val="clear" w:color="auto" w:fill="D9E2F3" w:themeFill="accent1" w:themeFillTint="33"/>
            <w:vAlign w:val="center"/>
          </w:tcPr>
          <w:p w14:paraId="41F49DA6" w14:textId="77777777" w:rsidR="008301C8" w:rsidRPr="00CF6939" w:rsidRDefault="008301C8" w:rsidP="00ED7C95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9"/>
            <w:shd w:val="clear" w:color="auto" w:fill="D9E2F3" w:themeFill="accent1" w:themeFillTint="33"/>
            <w:vAlign w:val="center"/>
          </w:tcPr>
          <w:p w14:paraId="588F92E6" w14:textId="17B44AF3" w:rsidR="008301C8" w:rsidRDefault="008301C8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Component 3: </w:t>
            </w:r>
            <w:r>
              <w:t xml:space="preserve"> </w:t>
            </w:r>
            <w:r w:rsidRPr="008301C8">
              <w:rPr>
                <w:rFonts w:asciiTheme="majorHAnsi" w:hAnsiTheme="majorHAnsi" w:cstheme="majorHAnsi"/>
              </w:rPr>
              <w:t>Interpreting Theatre</w:t>
            </w:r>
          </w:p>
        </w:tc>
      </w:tr>
      <w:tr w:rsidR="005D7946" w:rsidRPr="00C374AB" w14:paraId="594FBC92" w14:textId="77777777" w:rsidTr="00CF000A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17AA2C34" w14:textId="77777777" w:rsidR="005D7946" w:rsidRPr="00760E06" w:rsidRDefault="005D7946" w:rsidP="00ED7C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" w:type="pct"/>
            <w:shd w:val="clear" w:color="auto" w:fill="D9E2F3" w:themeFill="accent1" w:themeFillTint="33"/>
            <w:vAlign w:val="center"/>
          </w:tcPr>
          <w:p w14:paraId="6A3FFCC6" w14:textId="77777777" w:rsidR="005D7946" w:rsidRDefault="005D7946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Feedback</w:t>
            </w:r>
          </w:p>
          <w:p w14:paraId="163E33E0" w14:textId="6B441350" w:rsidR="005D7946" w:rsidRPr="00E42807" w:rsidRDefault="005D7946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Personal reflection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2" w:type="pct"/>
            <w:gridSpan w:val="3"/>
            <w:shd w:val="clear" w:color="auto" w:fill="D9E2F3" w:themeFill="accent1" w:themeFillTint="33"/>
            <w:vAlign w:val="center"/>
          </w:tcPr>
          <w:p w14:paraId="7ADB9AEE" w14:textId="77777777" w:rsidR="005D7946" w:rsidRDefault="005D7946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Rehearsal, performance, portfolio</w:t>
            </w:r>
          </w:p>
          <w:p w14:paraId="7C778DB7" w14:textId="462D82B6" w:rsidR="005D7946" w:rsidRPr="00E42807" w:rsidRDefault="005D7946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Practice exam questions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2" w:type="pct"/>
            <w:gridSpan w:val="3"/>
            <w:shd w:val="clear" w:color="auto" w:fill="D9E2F3" w:themeFill="accent1" w:themeFillTint="33"/>
            <w:vAlign w:val="center"/>
          </w:tcPr>
          <w:p w14:paraId="53732618" w14:textId="77777777" w:rsidR="00E55EF6" w:rsidRPr="001C7BA8" w:rsidRDefault="00E55EF6" w:rsidP="00E55EF6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1C7BA8">
              <w:rPr>
                <w:rFonts w:asciiTheme="majorHAnsi" w:hAnsiTheme="majorHAnsi" w:cstheme="majorHAnsi"/>
                <w:i/>
                <w:iCs/>
              </w:rPr>
              <w:t>Practical performance, portfolio, evaluation</w:t>
            </w:r>
          </w:p>
          <w:p w14:paraId="154DE282" w14:textId="03893E64" w:rsidR="005D7946" w:rsidRPr="00E42807" w:rsidRDefault="00E55EF6" w:rsidP="00E55EF6">
            <w:pPr>
              <w:jc w:val="center"/>
              <w:rPr>
                <w:rFonts w:asciiTheme="majorHAnsi" w:hAnsiTheme="majorHAnsi" w:cstheme="majorHAnsi"/>
              </w:rPr>
            </w:pPr>
            <w:r w:rsidRPr="001C7BA8">
              <w:rPr>
                <w:rFonts w:asciiTheme="majorHAnsi" w:hAnsiTheme="majorHAnsi" w:cstheme="majorHAnsi"/>
                <w:i/>
                <w:iCs/>
              </w:rPr>
              <w:t>Practice exam questions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gridSpan w:val="2"/>
            <w:shd w:val="clear" w:color="auto" w:fill="D9E2F3" w:themeFill="accent1" w:themeFillTint="33"/>
            <w:vAlign w:val="center"/>
          </w:tcPr>
          <w:p w14:paraId="3C2E5A6C" w14:textId="7F7013EF" w:rsidR="005D7946" w:rsidRPr="00E42807" w:rsidRDefault="003D347A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Performance</w:t>
            </w:r>
          </w:p>
        </w:tc>
      </w:tr>
      <w:tr w:rsidR="008D5213" w:rsidRPr="00C374AB" w14:paraId="39EEE56D" w14:textId="77777777" w:rsidTr="00ED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630216FC" w14:textId="77777777" w:rsidR="008D5213" w:rsidRDefault="008D5213" w:rsidP="00ED7C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78211358" wp14:editId="27F01AC5">
                  <wp:extent cx="403436" cy="403436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8BB9A" w14:textId="77777777" w:rsidR="008D5213" w:rsidRPr="00760E06" w:rsidRDefault="008D5213" w:rsidP="00ED7C95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9"/>
            <w:shd w:val="clear" w:color="auto" w:fill="D9E2F3" w:themeFill="accent1" w:themeFillTint="33"/>
            <w:vAlign w:val="center"/>
          </w:tcPr>
          <w:p w14:paraId="3581FF07" w14:textId="0CDE3453" w:rsidR="008D5213" w:rsidRPr="00B93656" w:rsidRDefault="008D5213" w:rsidP="00ED7C95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CEIAG – </w:t>
            </w:r>
            <w:r w:rsidR="00B93656">
              <w:rPr>
                <w:rFonts w:asciiTheme="majorHAnsi" w:hAnsiTheme="majorHAnsi" w:cstheme="majorHAnsi"/>
              </w:rPr>
              <w:t xml:space="preserve">Work and practices of professional practitioners. </w:t>
            </w:r>
            <w:r w:rsidR="00301C74">
              <w:rPr>
                <w:rFonts w:asciiTheme="majorHAnsi" w:hAnsiTheme="majorHAnsi" w:cstheme="majorHAnsi"/>
              </w:rPr>
              <w:t>Job roles – acting and technical.</w:t>
            </w:r>
          </w:p>
          <w:p w14:paraId="57218197" w14:textId="04522E3B" w:rsidR="008D5213" w:rsidRPr="00431306" w:rsidRDefault="008D5213" w:rsidP="00ED7C9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>SMSC –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Care values, supporting others, </w:t>
            </w:r>
            <w:r w:rsidR="00B93656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  <w:bCs/>
              </w:rPr>
              <w:t xml:space="preserve">ultural capital, character education, spiritual development. </w:t>
            </w:r>
          </w:p>
          <w:p w14:paraId="3B7553B9" w14:textId="7FB1D4F2" w:rsidR="008D5213" w:rsidRPr="00B93656" w:rsidRDefault="008D5213" w:rsidP="00ED7C95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ENRICHMENT – </w:t>
            </w:r>
            <w:r w:rsidR="00B93656">
              <w:rPr>
                <w:rFonts w:asciiTheme="majorHAnsi" w:hAnsiTheme="majorHAnsi" w:cstheme="majorHAnsi"/>
              </w:rPr>
              <w:t xml:space="preserve">Theatre visit, workshops. </w:t>
            </w:r>
          </w:p>
          <w:p w14:paraId="1F19C031" w14:textId="77777777" w:rsidR="008D5213" w:rsidRPr="00CD35A3" w:rsidRDefault="008D5213" w:rsidP="00ED7C95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BRITISH VALUES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Respect and tolerance, duty of law</w:t>
            </w:r>
          </w:p>
        </w:tc>
      </w:tr>
      <w:tr w:rsidR="007F30C0" w:rsidRPr="00C374AB" w14:paraId="5633544C" w14:textId="77777777" w:rsidTr="00FA0B11">
        <w:trPr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vMerge w:val="restart"/>
            <w:shd w:val="clear" w:color="auto" w:fill="D9E2F3" w:themeFill="accent1" w:themeFillTint="33"/>
            <w:vAlign w:val="center"/>
          </w:tcPr>
          <w:p w14:paraId="1CE46755" w14:textId="77777777" w:rsidR="007F30C0" w:rsidRPr="00760E06" w:rsidRDefault="007F30C0" w:rsidP="00ED7C95">
            <w:pPr>
              <w:jc w:val="center"/>
              <w:rPr>
                <w:noProof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  <w:r>
              <w:rPr>
                <w:rFonts w:asciiTheme="minorHAnsi" w:hAnsiTheme="minorHAnsi" w:cstheme="minorHAnsi"/>
                <w:b/>
                <w:sz w:val="72"/>
                <w:szCs w:val="5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8" w:type="pct"/>
            <w:gridSpan w:val="5"/>
            <w:shd w:val="clear" w:color="auto" w:fill="D9E2F3" w:themeFill="accent1" w:themeFillTint="33"/>
            <w:vAlign w:val="center"/>
          </w:tcPr>
          <w:p w14:paraId="64E9264D" w14:textId="1A697D52" w:rsidR="007F30C0" w:rsidRPr="00CF000A" w:rsidRDefault="007F30C0" w:rsidP="00CF000A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CF000A">
              <w:rPr>
                <w:rFonts w:asciiTheme="majorHAnsi" w:hAnsiTheme="majorHAnsi" w:cstheme="majorHAnsi"/>
              </w:rPr>
              <w:t>Component 2: text</w:t>
            </w:r>
            <w:r w:rsidR="00CF000A">
              <w:rPr>
                <w:rFonts w:asciiTheme="majorHAnsi" w:hAnsiTheme="majorHAnsi" w:cstheme="majorHAnsi"/>
              </w:rPr>
              <w:t xml:space="preserve"> – including exam performance from visiting examiner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1" w:type="pct"/>
            <w:gridSpan w:val="3"/>
            <w:shd w:val="clear" w:color="auto" w:fill="D9E2F3" w:themeFill="accent1" w:themeFillTint="33"/>
            <w:vAlign w:val="center"/>
          </w:tcPr>
          <w:p w14:paraId="3DB77072" w14:textId="3FAF4ABB" w:rsidR="007F30C0" w:rsidRPr="004C623C" w:rsidRDefault="007F30C0" w:rsidP="00ED7C95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Component 3 Revision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6" w:type="pct"/>
            <w:shd w:val="clear" w:color="auto" w:fill="D9E2F3" w:themeFill="accent1" w:themeFillTint="33"/>
            <w:vAlign w:val="center"/>
          </w:tcPr>
          <w:p w14:paraId="41618B8C" w14:textId="77777777" w:rsidR="007F30C0" w:rsidRPr="00AE0CCA" w:rsidRDefault="007F30C0" w:rsidP="00ED7C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158D0" w:rsidRPr="00C374AB" w14:paraId="7567449D" w14:textId="77777777" w:rsidTr="00D1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vMerge/>
            <w:shd w:val="clear" w:color="auto" w:fill="D9E2F3" w:themeFill="accent1" w:themeFillTint="33"/>
            <w:vAlign w:val="center"/>
          </w:tcPr>
          <w:p w14:paraId="5A44133D" w14:textId="77777777" w:rsidR="00D158D0" w:rsidRPr="00CF6939" w:rsidRDefault="00D158D0" w:rsidP="00ED7C95">
            <w:pPr>
              <w:jc w:val="center"/>
              <w:rPr>
                <w:rFonts w:asciiTheme="minorHAnsi" w:hAnsiTheme="minorHAnsi" w:cstheme="minorHAnsi"/>
                <w:b/>
                <w:sz w:val="72"/>
                <w:szCs w:val="5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9"/>
            <w:shd w:val="clear" w:color="auto" w:fill="D9E2F3" w:themeFill="accent1" w:themeFillTint="33"/>
            <w:vAlign w:val="center"/>
          </w:tcPr>
          <w:p w14:paraId="26C88371" w14:textId="663EC4B0" w:rsidR="00D158D0" w:rsidRPr="00AE0CCA" w:rsidRDefault="00D158D0" w:rsidP="00ED7C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Component 3: </w:t>
            </w:r>
            <w:r>
              <w:t xml:space="preserve"> </w:t>
            </w:r>
            <w:r w:rsidRPr="008301C8">
              <w:rPr>
                <w:rFonts w:asciiTheme="majorHAnsi" w:hAnsiTheme="majorHAnsi" w:cstheme="majorHAnsi"/>
              </w:rPr>
              <w:t>Interpreting Theatre</w:t>
            </w:r>
          </w:p>
        </w:tc>
      </w:tr>
      <w:tr w:rsidR="003D2A8E" w:rsidRPr="00C374AB" w14:paraId="0C8EE92E" w14:textId="77777777" w:rsidTr="00FA0B11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0A35CAAB" w14:textId="77777777" w:rsidR="003D2A8E" w:rsidRPr="00760E06" w:rsidRDefault="003D2A8E" w:rsidP="00ED7C95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1" w:type="pct"/>
            <w:gridSpan w:val="2"/>
            <w:shd w:val="clear" w:color="auto" w:fill="D9E2F3" w:themeFill="accent1" w:themeFillTint="33"/>
            <w:vAlign w:val="center"/>
          </w:tcPr>
          <w:p w14:paraId="6892540F" w14:textId="77777777" w:rsidR="003D2A8E" w:rsidRPr="003D2A8E" w:rsidRDefault="003D2A8E" w:rsidP="00ED7C95">
            <w:pPr>
              <w:jc w:val="center"/>
              <w:rPr>
                <w:rFonts w:asciiTheme="majorHAnsi" w:hAnsiTheme="majorHAnsi" w:cstheme="majorHAnsi"/>
              </w:rPr>
            </w:pPr>
            <w:r w:rsidRPr="003D2A8E">
              <w:rPr>
                <w:rFonts w:asciiTheme="majorHAnsi" w:hAnsiTheme="majorHAnsi" w:cstheme="majorHAnsi"/>
              </w:rPr>
              <w:t>Practical performance.</w:t>
            </w:r>
          </w:p>
          <w:p w14:paraId="13587870" w14:textId="77777777" w:rsidR="003D2A8E" w:rsidRPr="003D2A8E" w:rsidRDefault="003D2A8E" w:rsidP="00ED7C95">
            <w:pPr>
              <w:jc w:val="center"/>
              <w:rPr>
                <w:rFonts w:asciiTheme="majorHAnsi" w:hAnsiTheme="majorHAnsi" w:cstheme="majorHAnsi"/>
              </w:rPr>
            </w:pPr>
            <w:r w:rsidRPr="003D2A8E">
              <w:rPr>
                <w:rFonts w:asciiTheme="majorHAnsi" w:hAnsiTheme="majorHAnsi" w:cstheme="majorHAnsi"/>
              </w:rPr>
              <w:t>Portfolio.</w:t>
            </w:r>
          </w:p>
          <w:p w14:paraId="73CF63C9" w14:textId="167CB881" w:rsidR="003D2A8E" w:rsidRPr="00AE0CCA" w:rsidRDefault="003D2A8E" w:rsidP="00ED7C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D2A8E">
              <w:rPr>
                <w:rFonts w:asciiTheme="majorHAnsi" w:hAnsiTheme="majorHAnsi" w:cstheme="majorHAnsi"/>
              </w:rPr>
              <w:t>Evaluation.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7" w:type="pct"/>
            <w:gridSpan w:val="3"/>
            <w:shd w:val="clear" w:color="auto" w:fill="D9E2F3" w:themeFill="accent1" w:themeFillTint="33"/>
            <w:vAlign w:val="center"/>
          </w:tcPr>
          <w:p w14:paraId="50A20C44" w14:textId="6DC2AD5E" w:rsidR="003D2A8E" w:rsidRPr="004C623C" w:rsidRDefault="003D2A8E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Visiting examiner – practical per</w:t>
            </w:r>
            <w:r w:rsidR="00B93656">
              <w:rPr>
                <w:rFonts w:asciiTheme="majorHAnsi" w:hAnsiTheme="majorHAnsi" w:cstheme="majorHAnsi"/>
              </w:rPr>
              <w:t xml:space="preserve">formance.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1" w:type="pct"/>
            <w:gridSpan w:val="3"/>
            <w:shd w:val="clear" w:color="auto" w:fill="D9E2F3" w:themeFill="accent1" w:themeFillTint="33"/>
            <w:vAlign w:val="center"/>
          </w:tcPr>
          <w:p w14:paraId="36265F53" w14:textId="77777777" w:rsidR="003D2A8E" w:rsidRDefault="00B93656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Mock questions.</w:t>
            </w:r>
          </w:p>
          <w:p w14:paraId="1FFD6F4B" w14:textId="069F3C38" w:rsidR="00B93656" w:rsidRPr="004C623C" w:rsidRDefault="00B93656" w:rsidP="00ED7C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External exam.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  <w:shd w:val="clear" w:color="auto" w:fill="D9E2F3" w:themeFill="accent1" w:themeFillTint="33"/>
            <w:vAlign w:val="center"/>
          </w:tcPr>
          <w:p w14:paraId="58A35208" w14:textId="77777777" w:rsidR="003D2A8E" w:rsidRPr="00AE0CCA" w:rsidRDefault="003D2A8E" w:rsidP="00ED7C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D5213" w:rsidRPr="00C374AB" w14:paraId="0D7CE729" w14:textId="77777777" w:rsidTr="00ED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D9E2F3" w:themeFill="accent1" w:themeFillTint="33"/>
            <w:vAlign w:val="center"/>
          </w:tcPr>
          <w:p w14:paraId="61944F3E" w14:textId="77777777" w:rsidR="008D5213" w:rsidRDefault="008D5213" w:rsidP="00ED7C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0E06">
              <w:rPr>
                <w:noProof/>
              </w:rPr>
              <w:drawing>
                <wp:inline distT="0" distB="0" distL="0" distR="0" wp14:anchorId="413FBE86" wp14:editId="457CF50B">
                  <wp:extent cx="403436" cy="403436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con&#10;&#10;Description automatically generated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B0ECF2" w14:textId="77777777" w:rsidR="008D5213" w:rsidRPr="00760E06" w:rsidRDefault="008D5213" w:rsidP="00ED7C95">
            <w:pPr>
              <w:jc w:val="center"/>
              <w:rPr>
                <w:noProof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9"/>
            <w:shd w:val="clear" w:color="auto" w:fill="D9E2F3" w:themeFill="accent1" w:themeFillTint="33"/>
            <w:vAlign w:val="center"/>
          </w:tcPr>
          <w:p w14:paraId="4B7EB736" w14:textId="6621F5D6" w:rsidR="008D5213" w:rsidRPr="000D37B1" w:rsidRDefault="008D5213" w:rsidP="00ED7C95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CEIAG – </w:t>
            </w:r>
            <w:r w:rsidR="000D37B1">
              <w:rPr>
                <w:rFonts w:asciiTheme="majorHAnsi" w:hAnsiTheme="majorHAnsi" w:cstheme="majorHAnsi"/>
              </w:rPr>
              <w:t>Audition processes</w:t>
            </w:r>
            <w:r w:rsidR="007164CD">
              <w:rPr>
                <w:rFonts w:asciiTheme="majorHAnsi" w:hAnsiTheme="majorHAnsi" w:cstheme="majorHAnsi"/>
              </w:rPr>
              <w:t>.</w:t>
            </w:r>
          </w:p>
          <w:p w14:paraId="57476E67" w14:textId="1CFE8D62" w:rsidR="008D5213" w:rsidRPr="00431306" w:rsidRDefault="008D5213" w:rsidP="00ED7C95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>SMSC –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Care values, supporting others, </w:t>
            </w:r>
            <w:r w:rsidR="00B91807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  <w:bCs/>
              </w:rPr>
              <w:t xml:space="preserve">ultural capital, character education, spiritual development. </w:t>
            </w:r>
          </w:p>
          <w:p w14:paraId="6A6352D0" w14:textId="5C5201DA" w:rsidR="008D5213" w:rsidRPr="003C1455" w:rsidRDefault="008D5213" w:rsidP="00B91807">
            <w:pPr>
              <w:jc w:val="center"/>
              <w:rPr>
                <w:rFonts w:asciiTheme="majorHAnsi" w:hAnsiTheme="majorHAnsi" w:cstheme="majorHAnsi"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ENRICHMENT – </w:t>
            </w:r>
            <w:r w:rsidR="00B91807">
              <w:rPr>
                <w:rFonts w:asciiTheme="majorHAnsi" w:hAnsiTheme="majorHAnsi" w:cstheme="majorHAnsi"/>
              </w:rPr>
              <w:t xml:space="preserve">Theatre visit, workshops. Performance to an audience. </w:t>
            </w:r>
          </w:p>
          <w:p w14:paraId="7F6CD6E4" w14:textId="77777777" w:rsidR="008D5213" w:rsidRPr="00AE0CCA" w:rsidRDefault="008D5213" w:rsidP="00ED7C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CCA">
              <w:rPr>
                <w:rFonts w:asciiTheme="majorHAnsi" w:hAnsiTheme="majorHAnsi" w:cstheme="majorHAnsi"/>
                <w:b/>
                <w:bCs/>
              </w:rPr>
              <w:t xml:space="preserve">BRITISH VALUES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Respect and tolerance, duty of law</w:t>
            </w:r>
          </w:p>
        </w:tc>
      </w:tr>
      <w:tr w:rsidR="008D5213" w:rsidRPr="00C374AB" w14:paraId="6EBA6071" w14:textId="77777777" w:rsidTr="00ED7C95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" w:type="pct"/>
            <w:shd w:val="clear" w:color="auto" w:fill="FFFF00"/>
            <w:vAlign w:val="center"/>
          </w:tcPr>
          <w:p w14:paraId="0BBCCCF7" w14:textId="77777777" w:rsidR="008D5213" w:rsidRPr="00760E06" w:rsidRDefault="008D5213" w:rsidP="00ED7C95">
            <w:pPr>
              <w:jc w:val="center"/>
              <w:rPr>
                <w:noProof/>
              </w:rPr>
            </w:pPr>
            <w:r w:rsidRPr="00AD1BAF">
              <w:rPr>
                <w:rStyle w:val="normaltextrun"/>
                <w:rFonts w:ascii="Calibri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E-Safety</w:t>
            </w:r>
            <w:r w:rsidRPr="00AD1BAF">
              <w:rPr>
                <w:rStyle w:val="eop"/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95" w:type="pct"/>
            <w:gridSpan w:val="9"/>
            <w:shd w:val="clear" w:color="auto" w:fill="FFFF00"/>
            <w:vAlign w:val="center"/>
          </w:tcPr>
          <w:p w14:paraId="650FD4A1" w14:textId="77777777" w:rsidR="008D5213" w:rsidRDefault="008D5213" w:rsidP="00ED7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Use of secure websites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2B5D0778" w14:textId="77777777" w:rsidR="008D5213" w:rsidRDefault="008D5213" w:rsidP="00ED7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No use of personal details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2AF45E69" w14:textId="77777777" w:rsidR="008D5213" w:rsidRDefault="008D5213" w:rsidP="00ED7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Internet used as research tool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7BD6B77C" w14:textId="77777777" w:rsidR="008D5213" w:rsidRDefault="008D5213" w:rsidP="00ED7C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Use of computers in line with school policy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774A0BFA" w14:textId="77777777" w:rsidR="008D5213" w:rsidRPr="00AE0CCA" w:rsidRDefault="008D5213" w:rsidP="00ED7C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F12BB2B" w14:textId="77777777" w:rsidR="008D5213" w:rsidRDefault="008D5213" w:rsidP="008D5213"/>
    <w:p w14:paraId="0CA36506" w14:textId="77777777" w:rsidR="008D5213" w:rsidRDefault="008D5213" w:rsidP="008D5213"/>
    <w:p w14:paraId="700C6C91" w14:textId="77777777" w:rsidR="008D5213" w:rsidRPr="001C7BA8" w:rsidRDefault="008D5213" w:rsidP="008D52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C7BA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lastRenderedPageBreak/>
        <w:t>Where does ‘Respect, Inspire and Achieve’ feature in our curriculum?</w:t>
      </w:r>
      <w:r w:rsidRPr="001C7BA8">
        <w:rPr>
          <w:rStyle w:val="eop"/>
          <w:rFonts w:ascii="Calibri" w:hAnsi="Calibri" w:cs="Calibri"/>
          <w:sz w:val="22"/>
          <w:szCs w:val="22"/>
        </w:rPr>
        <w:t> </w:t>
      </w:r>
    </w:p>
    <w:p w14:paraId="27ADDA42" w14:textId="77777777" w:rsidR="008D5213" w:rsidRPr="001C7BA8" w:rsidRDefault="008D5213" w:rsidP="008D5213">
      <w:pPr>
        <w:textAlignment w:val="baseline"/>
        <w:rPr>
          <w:rFonts w:ascii="Segoe UI" w:hAnsi="Segoe UI" w:cs="Segoe UI"/>
          <w:color w:val="1F3763"/>
          <w:sz w:val="18"/>
          <w:szCs w:val="18"/>
          <w:lang w:eastAsia="en-GB"/>
        </w:rPr>
      </w:pPr>
      <w:r w:rsidRPr="001C7BA8">
        <w:rPr>
          <w:rFonts w:ascii="Arial" w:hAnsi="Arial" w:cs="Arial"/>
          <w:color w:val="FFAE00"/>
          <w:sz w:val="22"/>
          <w:szCs w:val="22"/>
          <w:lang w:val="en-US" w:eastAsia="en-GB"/>
        </w:rPr>
        <w:t>Vision</w:t>
      </w:r>
      <w:r w:rsidRPr="001C7BA8">
        <w:rPr>
          <w:rFonts w:ascii="Arial" w:hAnsi="Arial" w:cs="Arial"/>
          <w:color w:val="FFAE00"/>
          <w:sz w:val="22"/>
          <w:szCs w:val="22"/>
          <w:lang w:eastAsia="en-GB"/>
        </w:rPr>
        <w:t> </w:t>
      </w:r>
    </w:p>
    <w:p w14:paraId="539AD8E3" w14:textId="77777777" w:rsidR="008D5213" w:rsidRDefault="008D5213" w:rsidP="008D5213">
      <w:pPr>
        <w:textAlignment w:val="baseline"/>
        <w:rPr>
          <w:rFonts w:ascii="Calibri" w:hAnsi="Calibri" w:cs="Calibri"/>
          <w:color w:val="444444"/>
          <w:sz w:val="21"/>
          <w:szCs w:val="21"/>
          <w:lang w:eastAsia="en-GB"/>
        </w:rPr>
      </w:pPr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To ensure that all young people, regardless of their background, achieve their best in a safe, secure, caring yet challenging learning environment where </w:t>
      </w:r>
      <w:proofErr w:type="gramStart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>all of</w:t>
      </w:r>
      <w:proofErr w:type="gramEnd"/>
      <w:r w:rsidRPr="001C7BA8">
        <w:rPr>
          <w:rFonts w:ascii="Calibri" w:hAnsi="Calibri" w:cs="Calibri"/>
          <w:color w:val="444444"/>
          <w:sz w:val="21"/>
          <w:szCs w:val="21"/>
          <w:lang w:val="en-US" w:eastAsia="en-GB"/>
        </w:rPr>
        <w:t xml:space="preserve"> our students are inspired to respect others.  To develop their talents and to raise their aspirations to leave school with the academic, social and practical skills to lead a successful, happy and responsible life.</w:t>
      </w:r>
      <w:r w:rsidRPr="001C7BA8">
        <w:rPr>
          <w:rFonts w:ascii="Calibri" w:hAnsi="Calibri" w:cs="Calibri"/>
          <w:color w:val="444444"/>
          <w:sz w:val="21"/>
          <w:szCs w:val="21"/>
          <w:lang w:eastAsia="en-GB"/>
        </w:rPr>
        <w:t> </w:t>
      </w:r>
    </w:p>
    <w:p w14:paraId="767F5E2B" w14:textId="77777777" w:rsidR="008D5213" w:rsidRPr="001C7BA8" w:rsidRDefault="008D5213" w:rsidP="008D5213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0"/>
        <w:gridCol w:w="12766"/>
      </w:tblGrid>
      <w:tr w:rsidR="008D5213" w:rsidRPr="00AA6908" w14:paraId="0101E604" w14:textId="77777777" w:rsidTr="00D83C41"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C926F" w14:textId="77777777" w:rsidR="008D5213" w:rsidRPr="004367E3" w:rsidRDefault="008D5213" w:rsidP="00ED7C95">
            <w:pPr>
              <w:textAlignment w:val="baseline"/>
              <w:rPr>
                <w:lang w:eastAsia="en-GB"/>
              </w:rPr>
            </w:pPr>
            <w:r w:rsidRPr="004367E3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RESPECT</w:t>
            </w:r>
            <w:r w:rsidRPr="004367E3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79A54B7" w14:textId="77777777" w:rsidR="008D5213" w:rsidRPr="00917EEE" w:rsidRDefault="008D5213" w:rsidP="00ED7C95">
            <w:pPr>
              <w:textAlignment w:val="baseline"/>
              <w:rPr>
                <w:b/>
                <w:bCs/>
                <w:lang w:eastAsia="en-GB"/>
              </w:rPr>
            </w:pPr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Politeness, </w:t>
            </w:r>
            <w:proofErr w:type="spellStart"/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honour</w:t>
            </w:r>
            <w:proofErr w:type="spellEnd"/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, and care shown towards someone or something that is considered important (OED)</w:t>
            </w:r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  <w:p w14:paraId="46B0A049" w14:textId="77777777" w:rsidR="008D5213" w:rsidRPr="004367E3" w:rsidRDefault="008D5213" w:rsidP="00ED7C95">
            <w:pPr>
              <w:textAlignment w:val="baseline"/>
              <w:rPr>
                <w:lang w:eastAsia="en-GB"/>
              </w:rPr>
            </w:pPr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Consider: Respect for other people, beliefs, culture, </w:t>
            </w:r>
            <w:proofErr w:type="spellStart"/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behaviour</w:t>
            </w:r>
            <w:proofErr w:type="spellEnd"/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, learning, the environment…</w:t>
            </w:r>
            <w:r w:rsidRPr="004367E3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D5213" w:rsidRPr="00AA6908" w14:paraId="5BAF9CDF" w14:textId="77777777" w:rsidTr="00D83C41"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0E1E498" w14:textId="77777777" w:rsidR="008D5213" w:rsidRPr="00917EEE" w:rsidRDefault="008D5213" w:rsidP="00ED7C95">
            <w:pPr>
              <w:textAlignment w:val="baseline"/>
              <w:rPr>
                <w:lang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10</w:t>
            </w:r>
            <w:r w:rsidRPr="00917EE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7D74" w14:textId="211141A4" w:rsidR="008D5213" w:rsidRPr="00917EEE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Working together as a performance company to reproduce repertoire. </w:t>
            </w:r>
          </w:p>
          <w:p w14:paraId="7E0253F9" w14:textId="77777777" w:rsidR="00301C74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Group work and collaboration – respecting each other's ideas and developing performances as a group of equals.</w:t>
            </w:r>
          </w:p>
          <w:p w14:paraId="52F6A89E" w14:textId="1C86BB41" w:rsidR="00301C74" w:rsidRPr="00301C74" w:rsidRDefault="00301C74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Supporting the different job roles of the group.</w:t>
            </w:r>
          </w:p>
        </w:tc>
      </w:tr>
      <w:tr w:rsidR="008D5213" w:rsidRPr="00AA6908" w14:paraId="0C0AB4C6" w14:textId="77777777" w:rsidTr="00D83C41"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B22114B" w14:textId="77777777" w:rsidR="008D5213" w:rsidRPr="009E77D5" w:rsidRDefault="008D5213" w:rsidP="00ED7C95">
            <w:pPr>
              <w:textAlignment w:val="baseline"/>
              <w:rPr>
                <w:lang w:eastAsia="en-GB"/>
              </w:rPr>
            </w:pPr>
            <w:r w:rsidRPr="009E77D5">
              <w:rPr>
                <w:rFonts w:ascii="Calibri" w:hAnsi="Calibri" w:cs="Calibri"/>
                <w:sz w:val="22"/>
                <w:szCs w:val="22"/>
                <w:lang w:val="en-US" w:eastAsia="en-GB"/>
              </w:rPr>
              <w:t>11</w:t>
            </w:r>
            <w:r w:rsidRPr="009E77D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74E7" w14:textId="3469AAC2" w:rsidR="00301C74" w:rsidRPr="00917EEE" w:rsidRDefault="00301C74" w:rsidP="00301C74">
            <w:pPr>
              <w:textAlignment w:val="baseline"/>
              <w:rPr>
                <w:lang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Exploration of themes and issues in the play studied showing a respect and tolerance for different attitudes and </w:t>
            </w:r>
            <w:proofErr w:type="spellStart"/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behaviours</w:t>
            </w:r>
            <w:proofErr w:type="spellEnd"/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presented. </w:t>
            </w:r>
            <w:r w:rsidRPr="00917EE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64FE54DE" w14:textId="77777777" w:rsidR="008D5213" w:rsidRPr="009E77D5" w:rsidRDefault="008D5213" w:rsidP="00ED7C95">
            <w:pPr>
              <w:textAlignment w:val="baseline"/>
              <w:rPr>
                <w:lang w:eastAsia="en-GB"/>
              </w:rPr>
            </w:pPr>
          </w:p>
        </w:tc>
      </w:tr>
      <w:tr w:rsidR="008D5213" w:rsidRPr="00AA6908" w14:paraId="53D087C8" w14:textId="77777777" w:rsidTr="006B64D6"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5C788" w14:textId="77777777" w:rsidR="008D5213" w:rsidRPr="00C4603E" w:rsidRDefault="008D5213" w:rsidP="00ED7C95">
            <w:pPr>
              <w:textAlignment w:val="baseline"/>
              <w:rPr>
                <w:lang w:eastAsia="en-GB"/>
              </w:rPr>
            </w:pPr>
            <w:r w:rsidRPr="00C4603E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INSPIRE</w:t>
            </w:r>
            <w:r w:rsidRPr="00C4603E">
              <w:rPr>
                <w:rFonts w:ascii="Calibri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45756" w14:textId="77777777" w:rsidR="008D5213" w:rsidRPr="00917EEE" w:rsidRDefault="008D5213" w:rsidP="00ED7C95">
            <w:pPr>
              <w:textAlignment w:val="baseline"/>
              <w:rPr>
                <w:b/>
                <w:bCs/>
                <w:lang w:eastAsia="en-GB"/>
              </w:rPr>
            </w:pPr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The desire, confidence, or enthusiasm to do something well (OED)</w:t>
            </w:r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  <w:p w14:paraId="4F178184" w14:textId="77777777" w:rsidR="008D5213" w:rsidRPr="00917EEE" w:rsidRDefault="008D5213" w:rsidP="00ED7C95">
            <w:pPr>
              <w:textAlignment w:val="baseline"/>
              <w:rPr>
                <w:b/>
                <w:bCs/>
                <w:lang w:eastAsia="en-GB"/>
              </w:rPr>
            </w:pPr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Consider: Aspirations, future learning/ study, how to improve, target setting to achieve goals…</w:t>
            </w:r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8D5213" w:rsidRPr="00AA6908" w14:paraId="52D48AB6" w14:textId="77777777" w:rsidTr="006B64D6"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5F3E7" w14:textId="77777777" w:rsidR="008D5213" w:rsidRPr="00917EEE" w:rsidRDefault="008D5213" w:rsidP="00ED7C95">
            <w:pPr>
              <w:textAlignment w:val="baseline"/>
              <w:rPr>
                <w:lang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10</w:t>
            </w:r>
            <w:r w:rsidRPr="00917EE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A9C24" w14:textId="77777777" w:rsidR="008D5213" w:rsidRPr="00917EEE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 The workshop and rehearsal process involved in preparing for a performance of a piece of repertoire. </w:t>
            </w:r>
          </w:p>
          <w:p w14:paraId="6D64E5E6" w14:textId="77777777" w:rsidR="008D5213" w:rsidRPr="00917EEE" w:rsidRDefault="008D5213" w:rsidP="00ED7C95">
            <w:pPr>
              <w:textAlignment w:val="baseline"/>
              <w:rPr>
                <w:lang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Taking feedback from ‘director’ (usually the teacher) to develop performance and acting/performance skills. </w:t>
            </w:r>
            <w:r w:rsidRPr="00917EE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D5213" w:rsidRPr="00AA6908" w14:paraId="15CAAB12" w14:textId="77777777" w:rsidTr="006B64D6"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A4029" w14:textId="77777777" w:rsidR="008D5213" w:rsidRPr="00917EEE" w:rsidRDefault="008D5213" w:rsidP="00ED7C95">
            <w:pPr>
              <w:textAlignment w:val="baseline"/>
              <w:rPr>
                <w:lang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11</w:t>
            </w:r>
            <w:r w:rsidRPr="00917EE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C28C7" w14:textId="54C8998F" w:rsidR="008D5213" w:rsidRPr="00917EEE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Future careers and job roles in the performing arts.  </w:t>
            </w:r>
          </w:p>
          <w:p w14:paraId="7A1549DC" w14:textId="77777777" w:rsidR="008D5213" w:rsidRPr="00917EEE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Working practices and processes of professionals in the performing arts industry. </w:t>
            </w:r>
            <w:r w:rsidRPr="00917EE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  <w:p w14:paraId="1DBF6885" w14:textId="77777777" w:rsidR="008D5213" w:rsidRPr="00917EEE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Working to a brief and the connections with working practices in the industry.  </w:t>
            </w:r>
          </w:p>
          <w:p w14:paraId="531989DC" w14:textId="77777777" w:rsidR="008D5213" w:rsidRPr="00917EEE" w:rsidRDefault="008D5213" w:rsidP="00ED7C95">
            <w:pPr>
              <w:textAlignment w:val="baseline"/>
              <w:rPr>
                <w:lang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Input and workshops from professional theatre companies – New Wolsey Theatre. </w:t>
            </w:r>
            <w:r w:rsidRPr="00917EEE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D5213" w:rsidRPr="00AA6908" w14:paraId="7385D5E4" w14:textId="77777777" w:rsidTr="006B64D6"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18578" w14:textId="77777777" w:rsidR="008D5213" w:rsidRPr="003620D7" w:rsidRDefault="008D5213" w:rsidP="00ED7C95">
            <w:pPr>
              <w:textAlignment w:val="baseline"/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</w:pPr>
            <w:r w:rsidRPr="003620D7">
              <w:rPr>
                <w:rFonts w:ascii="Calibri" w:hAnsi="Calibri" w:cs="Calibri"/>
                <w:b/>
                <w:bCs/>
                <w:sz w:val="28"/>
                <w:szCs w:val="28"/>
                <w:lang w:val="en-US" w:eastAsia="en-GB"/>
              </w:rPr>
              <w:t>ACHIEVE </w:t>
            </w:r>
          </w:p>
        </w:tc>
        <w:tc>
          <w:tcPr>
            <w:tcW w:w="1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9FB5A" w14:textId="77777777" w:rsidR="008D5213" w:rsidRPr="00917EEE" w:rsidRDefault="008D5213" w:rsidP="00ED7C95">
            <w:pPr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To succeed in reaching a particular goal, status, or standard, especially by </w:t>
            </w:r>
            <w:proofErr w:type="gramStart"/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making an effort</w:t>
            </w:r>
            <w:proofErr w:type="gramEnd"/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 for a long time </w:t>
            </w:r>
          </w:p>
          <w:p w14:paraId="6D6C6C5B" w14:textId="77777777" w:rsidR="008D5213" w:rsidRPr="00917EEE" w:rsidRDefault="008D5213" w:rsidP="00ED7C95">
            <w:pPr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Consider: Achieve targets, improving work/ grades… </w:t>
            </w:r>
          </w:p>
        </w:tc>
      </w:tr>
      <w:tr w:rsidR="008D5213" w:rsidRPr="00AA6908" w14:paraId="07B09790" w14:textId="77777777" w:rsidTr="006B64D6"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B8F53" w14:textId="77777777" w:rsidR="008D5213" w:rsidRPr="00917EEE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10 </w:t>
            </w:r>
          </w:p>
        </w:tc>
        <w:tc>
          <w:tcPr>
            <w:tcW w:w="1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65AF6" w14:textId="77777777" w:rsidR="008D5213" w:rsidRPr="00917EEE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Target setting to improve practical performance and theoretical understanding of performance and how this communicates to an audience. </w:t>
            </w:r>
          </w:p>
          <w:p w14:paraId="16BC7A4B" w14:textId="77777777" w:rsidR="008D5213" w:rsidRPr="00917EEE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Use of exemplar theory and practical work and working to achieve a standard aligned with this.  </w:t>
            </w:r>
          </w:p>
          <w:p w14:paraId="071A4CFB" w14:textId="77777777" w:rsidR="008D5213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Use of professional repertoire and exemplar performances to set the standard and show opportunities in the use of skills and stage presence.  </w:t>
            </w:r>
          </w:p>
          <w:p w14:paraId="57AC4A70" w14:textId="1707E2FF" w:rsidR="00E20D65" w:rsidRPr="00917EEE" w:rsidRDefault="00E20D65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Self-reflection and guided practice.</w:t>
            </w:r>
          </w:p>
        </w:tc>
      </w:tr>
      <w:tr w:rsidR="008D5213" w:rsidRPr="00AA6908" w14:paraId="7CB881A2" w14:textId="77777777" w:rsidTr="006B64D6"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31FDE" w14:textId="77777777" w:rsidR="008D5213" w:rsidRPr="00917EEE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11 </w:t>
            </w:r>
          </w:p>
        </w:tc>
        <w:tc>
          <w:tcPr>
            <w:tcW w:w="1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A561A" w14:textId="5D633CD9" w:rsidR="008D5213" w:rsidRPr="00917EEE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 </w:t>
            </w:r>
            <w:r w:rsidR="00A10F7F"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Independently</w:t>
            </w: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working to achieve the goals as set out in the brief provided by </w:t>
            </w:r>
            <w:proofErr w:type="gramStart"/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exam</w:t>
            </w:r>
            <w:proofErr w:type="gramEnd"/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 xml:space="preserve"> board. Improvement and refinement of performance work to develop skills and working practices. </w:t>
            </w:r>
          </w:p>
          <w:p w14:paraId="0897FD13" w14:textId="77777777" w:rsidR="008D5213" w:rsidRDefault="008D5213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 w:rsidRPr="00917EEE">
              <w:rPr>
                <w:rFonts w:ascii="Calibri" w:hAnsi="Calibri" w:cs="Calibri"/>
                <w:sz w:val="22"/>
                <w:szCs w:val="22"/>
                <w:lang w:val="en-US" w:eastAsia="en-GB"/>
              </w:rPr>
              <w:t>Target setting to improve practical performance and theoretical understanding of performance and how this communicates to an audience. </w:t>
            </w:r>
          </w:p>
          <w:p w14:paraId="3925DDBE" w14:textId="49D47288" w:rsidR="00E20D65" w:rsidRPr="00917EEE" w:rsidRDefault="00E20D65" w:rsidP="00ED7C95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GB"/>
              </w:rPr>
              <w:t>Self-reflection and guided practice.</w:t>
            </w:r>
          </w:p>
        </w:tc>
      </w:tr>
    </w:tbl>
    <w:p w14:paraId="146CD726" w14:textId="77777777" w:rsidR="004C2665" w:rsidRDefault="004C2665"/>
    <w:sectPr w:rsidR="004C2665" w:rsidSect="00191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1FFE" w14:textId="77777777" w:rsidR="00635806" w:rsidRDefault="00635806" w:rsidP="008D5213">
      <w:r>
        <w:separator/>
      </w:r>
    </w:p>
  </w:endnote>
  <w:endnote w:type="continuationSeparator" w:id="0">
    <w:p w14:paraId="296E2928" w14:textId="77777777" w:rsidR="00635806" w:rsidRDefault="00635806" w:rsidP="008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76EA" w14:textId="77777777" w:rsidR="001B496B" w:rsidRDefault="001B4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1B9E" w14:textId="77777777" w:rsidR="001B496B" w:rsidRPr="00DD359D" w:rsidRDefault="001B496B" w:rsidP="00E42807">
    <w:pPr>
      <w:pStyle w:val="Footer"/>
      <w:rPr>
        <w:rFonts w:asciiTheme="minorHAnsi" w:hAnsiTheme="minorHAnsi" w:cstheme="minorHAnsi"/>
        <w:b/>
        <w:bCs/>
        <w:i/>
        <w:iCs/>
        <w:sz w:val="36"/>
        <w:szCs w:val="36"/>
      </w:rPr>
    </w:pPr>
    <w:r w:rsidRPr="002878F6">
      <w:rPr>
        <w:rFonts w:asciiTheme="majorHAnsi" w:hAnsiTheme="majorHAnsi" w:cstheme="majorHAnsi"/>
        <w:b/>
        <w:bCs/>
        <w:i/>
        <w:iCs/>
      </w:rPr>
      <w:t>Key:</w:t>
    </w:r>
    <w:r>
      <w:rPr>
        <w:rFonts w:asciiTheme="majorHAnsi" w:hAnsiTheme="majorHAnsi" w:cstheme="majorHAnsi"/>
        <w:b/>
        <w:bCs/>
        <w:i/>
        <w:iCs/>
        <w:color w:val="7030A0"/>
      </w:rPr>
      <w:t xml:space="preserve"> </w:t>
    </w:r>
    <w:r w:rsidRPr="00DD359D">
      <w:rPr>
        <w:rFonts w:asciiTheme="minorHAnsi" w:hAnsiTheme="minorHAnsi" w:cstheme="minorHAnsi"/>
        <w:b/>
        <w:bCs/>
        <w:color w:val="FF0000"/>
        <w:sz w:val="36"/>
        <w:szCs w:val="36"/>
      </w:rPr>
      <w:t>CEIAG</w:t>
    </w:r>
    <w:r w:rsidRPr="00DD359D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Pr="00201576">
      <w:rPr>
        <w:rFonts w:asciiTheme="minorHAnsi" w:hAnsiTheme="minorHAnsi" w:cstheme="minorHAnsi"/>
        <w:b/>
        <w:bCs/>
        <w:color w:val="00B050"/>
        <w:sz w:val="36"/>
        <w:szCs w:val="36"/>
      </w:rPr>
      <w:t>SMSC</w:t>
    </w:r>
    <w:r w:rsidRPr="00DD359D">
      <w:rPr>
        <w:rFonts w:asciiTheme="minorHAnsi" w:hAnsiTheme="minorHAnsi" w:cstheme="minorHAnsi"/>
        <w:b/>
        <w:bCs/>
        <w:color w:val="00B050"/>
        <w:sz w:val="36"/>
        <w:szCs w:val="36"/>
      </w:rPr>
      <w:t xml:space="preserve"> </w:t>
    </w:r>
    <w:r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Enrichment</w:t>
    </w:r>
    <w:r>
      <w:rPr>
        <w:rFonts w:asciiTheme="minorHAnsi" w:hAnsiTheme="minorHAnsi" w:cstheme="minorHAnsi"/>
        <w:b/>
        <w:bCs/>
        <w:color w:val="7030A0"/>
        <w:sz w:val="36"/>
        <w:szCs w:val="36"/>
      </w:rPr>
      <w:t xml:space="preserve"> </w:t>
    </w:r>
    <w:r w:rsidRPr="000A44B5">
      <w:rPr>
        <w:rFonts w:asciiTheme="minorHAnsi" w:hAnsiTheme="minorHAnsi" w:cstheme="minorHAnsi"/>
        <w:b/>
        <w:bCs/>
        <w:color w:val="0070C0"/>
        <w:sz w:val="36"/>
        <w:szCs w:val="36"/>
      </w:rPr>
      <w:t>British Values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333F3" w14:textId="77777777" w:rsidR="001B496B" w:rsidRDefault="001B4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CA321" w14:textId="77777777" w:rsidR="00635806" w:rsidRDefault="00635806" w:rsidP="008D5213">
      <w:r>
        <w:separator/>
      </w:r>
    </w:p>
  </w:footnote>
  <w:footnote w:type="continuationSeparator" w:id="0">
    <w:p w14:paraId="3B7B411D" w14:textId="77777777" w:rsidR="00635806" w:rsidRDefault="00635806" w:rsidP="008D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8103" w14:textId="77777777" w:rsidR="001B496B" w:rsidRDefault="001B4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8315" w14:textId="6D0587A5" w:rsidR="001B496B" w:rsidRPr="00B80B30" w:rsidRDefault="001B496B" w:rsidP="00972B95">
    <w:pPr>
      <w:pStyle w:val="Header"/>
      <w:rPr>
        <w:rFonts w:asciiTheme="minorHAnsi" w:hAnsiTheme="minorHAnsi" w:cstheme="minorHAnsi"/>
        <w:b/>
        <w:sz w:val="48"/>
        <w:szCs w:val="22"/>
      </w:rPr>
    </w:pPr>
    <w:r w:rsidRPr="00E44F25">
      <w:rPr>
        <w:rFonts w:cstheme="minorHAnsi"/>
        <w:b/>
        <w:noProof/>
        <w:sz w:val="48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67CDD47A" wp14:editId="5E5D3A50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noProof/>
        <w:sz w:val="48"/>
        <w:szCs w:val="48"/>
        <w:lang w:eastAsia="en-GB"/>
      </w:rPr>
      <w:t xml:space="preserve">KS4 </w:t>
    </w:r>
    <w:r w:rsidR="008D5213">
      <w:rPr>
        <w:rFonts w:cstheme="minorHAnsi"/>
        <w:b/>
        <w:noProof/>
        <w:sz w:val="48"/>
        <w:szCs w:val="48"/>
        <w:lang w:eastAsia="en-GB"/>
      </w:rPr>
      <w:t>Drama</w:t>
    </w:r>
    <w:r w:rsidRPr="00E44F25">
      <w:rPr>
        <w:rFonts w:asciiTheme="minorHAnsi" w:hAnsiTheme="minorHAnsi" w:cstheme="minorHAnsi"/>
        <w:b/>
        <w:sz w:val="48"/>
        <w:szCs w:val="4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BD45" w14:textId="77777777" w:rsidR="001B496B" w:rsidRDefault="001B4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13"/>
    <w:rsid w:val="000D37B1"/>
    <w:rsid w:val="001B496B"/>
    <w:rsid w:val="00301C74"/>
    <w:rsid w:val="00333A8B"/>
    <w:rsid w:val="003D2A8E"/>
    <w:rsid w:val="003D347A"/>
    <w:rsid w:val="004C2665"/>
    <w:rsid w:val="0057582B"/>
    <w:rsid w:val="005D7946"/>
    <w:rsid w:val="00635806"/>
    <w:rsid w:val="006B64D6"/>
    <w:rsid w:val="007164CD"/>
    <w:rsid w:val="0079246D"/>
    <w:rsid w:val="007F30C0"/>
    <w:rsid w:val="008301C8"/>
    <w:rsid w:val="008B301B"/>
    <w:rsid w:val="008D5213"/>
    <w:rsid w:val="00917EEE"/>
    <w:rsid w:val="00A10F7F"/>
    <w:rsid w:val="00A6566B"/>
    <w:rsid w:val="00B82925"/>
    <w:rsid w:val="00B91807"/>
    <w:rsid w:val="00B93656"/>
    <w:rsid w:val="00C73563"/>
    <w:rsid w:val="00CF000A"/>
    <w:rsid w:val="00D04490"/>
    <w:rsid w:val="00D158D0"/>
    <w:rsid w:val="00D83C41"/>
    <w:rsid w:val="00E20D65"/>
    <w:rsid w:val="00E55EF6"/>
    <w:rsid w:val="00F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BB70"/>
  <w15:chartTrackingRefBased/>
  <w15:docId w15:val="{3665B9FF-7EAB-4E86-AFC4-3D84E3E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 Cen MT" w:eastAsiaTheme="minorHAnsi" w:hAnsi="Tw Cen M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13"/>
    <w:pPr>
      <w:spacing w:line="240" w:lineRule="auto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5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D5213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rsid w:val="008D5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D5213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table" w:styleId="PlainTable2">
    <w:name w:val="Plain Table 2"/>
    <w:basedOn w:val="TableNormal"/>
    <w:uiPriority w:val="42"/>
    <w:rsid w:val="008D5213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8D5213"/>
  </w:style>
  <w:style w:type="character" w:customStyle="1" w:styleId="eop">
    <w:name w:val="eop"/>
    <w:basedOn w:val="DefaultParagraphFont"/>
    <w:rsid w:val="008D5213"/>
  </w:style>
  <w:style w:type="paragraph" w:customStyle="1" w:styleId="paragraph">
    <w:name w:val="paragraph"/>
    <w:basedOn w:val="Normal"/>
    <w:rsid w:val="008D521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Beacham</dc:creator>
  <cp:keywords/>
  <dc:description/>
  <cp:lastModifiedBy>Terri Beacham</cp:lastModifiedBy>
  <cp:revision>23</cp:revision>
  <dcterms:created xsi:type="dcterms:W3CDTF">2023-06-12T10:24:00Z</dcterms:created>
  <dcterms:modified xsi:type="dcterms:W3CDTF">2025-07-09T10:10:00Z</dcterms:modified>
</cp:coreProperties>
</file>